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3960000" cy="9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0"/>
      </w:pPr>
    </w:p>
    <w:p>
      <w:pPr>
        <w:spacing w:after="40"/>
      </w:pPr>
      <w:r>
        <w:rPr>
          <w:b/>
          <w:i w:val="0"/>
          <w:color w:val="00A7C4"/>
          <w:sz w:val="22"/>
        </w:rPr>
        <w:t>HACKATHON EXPO CLEAN ECUADOR 2026</w:t>
      </w:r>
    </w:p>
    <w:p>
      <w:pPr>
        <w:spacing w:after="520"/>
      </w:pPr>
      <w:r>
        <w:rPr>
          <w:b w:val="0"/>
          <w:i w:val="0"/>
          <w:color w:val="64748B"/>
          <w:sz w:val="22"/>
        </w:rPr>
        <w:t>Reto 1 — Optimización y trazabilidad logística del abastecimiento de insumos</w:t>
      </w:r>
    </w:p>
    <w:p>
      <w:pPr>
        <w:spacing w:after="0"/>
      </w:pPr>
      <w:r>
        <w:rPr>
          <w:b/>
          <w:i w:val="0"/>
          <w:color w:val="2D3748"/>
          <w:sz w:val="60"/>
        </w:rPr>
        <w:t>Prototipo</w:t>
      </w:r>
    </w:p>
    <w:p>
      <w:pPr>
        <w:spacing w:after="280"/>
      </w:pPr>
      <w:r>
        <w:rPr>
          <w:b/>
          <w:i w:val="0"/>
          <w:color w:val="00A7C4"/>
          <w:sz w:val="60"/>
        </w:rPr>
        <w:t>funcionando</w:t>
      </w:r>
    </w:p>
    <w:p>
      <w:pPr>
        <w:spacing w:after="1200"/>
        <w:pBdr>
          <w:left w:val="single" w:sz="24" w:space="8" w:color="EA601F"/>
        </w:pBdr>
      </w:pPr>
      <w:r>
        <w:rPr>
          <w:b w:val="0"/>
          <w:i w:val="0"/>
          <w:color w:val="2D3748"/>
          <w:sz w:val="24"/>
        </w:rPr>
        <w:t>Entregable 3 · Prototipo / demo (Manual §9 y Anexo 5.3)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EQUIPO</w:t>
            </w:r>
          </w:p>
          <w:p>
            <w:pPr>
              <w:spacing w:after="160"/>
            </w:pPr>
            <w:r>
              <w:rPr>
                <w:b/>
                <w:i w:val="0"/>
                <w:color w:val="2D3748"/>
                <w:sz w:val="26"/>
              </w:rPr>
              <w:t>IstpetDev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Bryan Baño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Jorge Doicela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Joseph Baño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Anthony Pilatasig</w:t>
            </w:r>
          </w:p>
          <w:p>
            <w:pPr>
              <w:spacing w:after="20"/>
            </w:pPr>
            <w:r>
              <w:rPr>
                <w:b w:val="0"/>
                <w:i w:val="0"/>
                <w:color w:val="2D3748"/>
                <w:sz w:val="21"/>
              </w:rPr>
              <w:t>Alexander Martínez</w:t>
            </w:r>
          </w:p>
        </w:tc>
        <w:tc>
          <w:tcPr>
            <w:tcW w:type="dxa" w:w="4706"/>
          </w:tcPr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FECHA</w:t>
            </w:r>
          </w:p>
          <w:p>
            <w:pPr>
              <w:spacing w:after="160"/>
            </w:pPr>
            <w:r>
              <w:rPr>
                <w:b w:val="0"/>
                <w:i w:val="0"/>
                <w:color w:val="2D3748"/>
                <w:sz w:val="22"/>
              </w:rPr>
              <w:t>17 de octubre de 2026</w:t>
            </w:r>
          </w:p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LUGAR</w:t>
            </w:r>
          </w:p>
          <w:p>
            <w:pPr>
              <w:spacing w:after="160"/>
            </w:pPr>
            <w:r>
              <w:rPr>
                <w:b w:val="0"/>
                <w:i w:val="0"/>
                <w:color w:val="2D3748"/>
                <w:sz w:val="22"/>
              </w:rPr>
              <w:t>Quito, Ecuador</w:t>
            </w:r>
          </w:p>
          <w:p>
            <w:pPr>
              <w:spacing w:after="40"/>
            </w:pPr>
            <w:r>
              <w:rPr>
                <w:b/>
                <w:i w:val="0"/>
                <w:color w:val="64748B"/>
                <w:sz w:val="18"/>
              </w:rPr>
              <w:t>VERSIÓN</w:t>
            </w:r>
          </w:p>
          <w:p>
            <w:pPr>
              <w:spacing w:after="160"/>
            </w:pPr>
            <w:r>
              <w:rPr>
                <w:b w:val="0"/>
                <w:i w:val="0"/>
                <w:color w:val="2D3748"/>
                <w:sz w:val="22"/>
              </w:rPr>
              <w:t>Versión para la entrega del 17 de octubre de 2026</w:t>
            </w:r>
          </w:p>
        </w:tc>
      </w:tr>
    </w:tbl>
    <w:p>
      <w:pPr>
        <w:sectPr>
          <w:footerReference w:type="default" r:id="rId10"/>
          <w:pgSz w:w="11906" w:h="16838"/>
          <w:pgMar w:top="1134" w:right="1247" w:bottom="1134" w:left="1247" w:header="720" w:footer="720" w:gutter="0"/>
          <w:cols w:space="720"/>
          <w:titlePg/>
          <w:docGrid w:linePitch="360"/>
        </w:sectPr>
      </w:pP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1  </w:t>
      </w:r>
      <w:r>
        <w:rPr>
          <w:b/>
          <w:color w:val="2D3748"/>
          <w:sz w:val="34"/>
        </w:rPr>
        <w:t>¿Qué construimos?</w:t>
      </w:r>
    </w:p>
    <w:p>
      <w:pPr>
        <w:spacing w:after="160"/>
      </w:pPr>
      <w:r>
        <w:rPr>
          <w:b/>
          <w:color w:val="2D3748"/>
          <w:sz w:val="21"/>
        </w:rPr>
        <w:t>IstpetDev</w:t>
      </w:r>
      <w:r>
        <w:rPr>
          <w:b w:val="0"/>
          <w:color w:val="2D3748"/>
          <w:sz w:val="21"/>
        </w:rPr>
        <w:t xml:space="preserve"> es un prototipo desplegado en la nube con dos superficies: una </w:t>
      </w:r>
      <w:r>
        <w:rPr>
          <w:b/>
          <w:color w:val="2D3748"/>
          <w:sz w:val="21"/>
        </w:rPr>
        <w:t>Torre de Control web</w:t>
      </w:r>
      <w:r>
        <w:rPr>
          <w:b w:val="0"/>
          <w:color w:val="2D3748"/>
          <w:sz w:val="21"/>
        </w:rPr>
        <w:t xml:space="preserve"> para planificación, gerencia y auditoría, y una </w:t>
      </w:r>
      <w:r>
        <w:rPr>
          <w:b/>
          <w:color w:val="2D3748"/>
          <w:sz w:val="21"/>
        </w:rPr>
        <w:t>aplicación de campo (PWA)</w:t>
      </w:r>
      <w:r>
        <w:rPr>
          <w:b w:val="0"/>
          <w:color w:val="2D3748"/>
          <w:sz w:val="21"/>
        </w:rPr>
        <w:t xml:space="preserve"> para bodega, conductor y receptor, que funciona sin conexión. Un motor determinista calcula riesgo, rutas y costos; un agente de IA orquestado con n8n explica los resultados; una persona aprueba antes de publicar.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2608"/>
        <w:gridCol w:w="3742"/>
        <w:gridCol w:w="3061"/>
      </w:tblGrid>
      <w:tr>
        <w:trPr>
          <w:tblHeader/>
          <w:cantSplit/>
        </w:trPr>
        <w:tc>
          <w:tcPr>
            <w:tcW w:type="dxa" w:w="2608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Dónde</w:t>
            </w:r>
          </w:p>
        </w:tc>
        <w:tc>
          <w:tcPr>
            <w:tcW w:type="dxa" w:w="3742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Dirección</w:t>
            </w:r>
          </w:p>
        </w:tc>
        <w:tc>
          <w:tcPr>
            <w:tcW w:type="dxa" w:w="3061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Quién lo usa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/>
                <w:color w:val="2D3748"/>
                <w:sz w:val="19"/>
              </w:rPr>
              <w:t>Torre de Control (web)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color w:val="2D3748"/>
                <w:sz w:val="19"/>
              </w:rPr>
              <w:t>https://istpetdev.doicela.dev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color w:val="2D3748"/>
                <w:sz w:val="19"/>
              </w:rPr>
              <w:t>Planificador, Gerencia, Auditor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/>
                <w:color w:val="2D3748"/>
                <w:sz w:val="19"/>
              </w:rPr>
              <w:t>Aplicación de campo (PWA)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color w:val="2D3748"/>
                <w:sz w:val="19"/>
              </w:rPr>
              <w:t>https://istpetdev.doicela.dev/campo/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color w:val="2D3748"/>
                <w:sz w:val="19"/>
              </w:rPr>
              <w:t>Bodega, Conductor, Receptor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/>
                <w:color w:val="2D3748"/>
                <w:sz w:val="19"/>
              </w:rPr>
              <w:t>Orquestador del agente</w:t>
            </w:r>
          </w:p>
        </w:tc>
        <w:tc>
          <w:tcPr>
            <w:tcW w:type="dxa" w:w="3742"/>
          </w:tcPr>
          <w:p>
            <w:r/>
            <w:r>
              <w:rPr>
                <w:b w:val="0"/>
                <w:color w:val="2D3748"/>
                <w:sz w:val="19"/>
              </w:rPr>
              <w:t>n8n, servidor propio del equipo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color w:val="2D3748"/>
                <w:sz w:val="19"/>
              </w:rPr>
              <w:t>Agente de IA (DeepSeek)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 w:val="0"/>
          <w:i w:val="0"/>
          <w:color w:val="64748B"/>
          <w:sz w:val="19"/>
        </w:rPr>
        <w:t>Versión desplegada y verificada el sábado 17-oct-2026, 08:28 (hora de Ecuador): commit a86d2b8, publicación del PR #314 a la rama principal. Infraestructura: servidor AWS EC2, base PostgreSQL 16 en Amazon RDS y Redis 7.4.</w:t>
      </w: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2  </w:t>
      </w:r>
      <w:r>
        <w:rPr>
          <w:b/>
          <w:color w:val="2D3748"/>
          <w:sz w:val="34"/>
        </w:rPr>
        <w:t>¿Qué parte es funcional?</w:t>
      </w:r>
    </w:p>
    <w:p>
      <w:pPr>
        <w:spacing w:after="120"/>
      </w:pPr>
      <w:r>
        <w:rPr>
          <w:b w:val="0"/>
          <w:i w:val="0"/>
          <w:color w:val="2D3748"/>
          <w:sz w:val="21"/>
        </w:rPr>
        <w:t>Separamos con honestidad lo que está construido, lo que se probó y lo que falta: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2608"/>
        <w:gridCol w:w="2041"/>
        <w:gridCol w:w="4762"/>
      </w:tblGrid>
      <w:tr>
        <w:trPr>
          <w:tblHeader/>
          <w:cantSplit/>
        </w:trPr>
        <w:tc>
          <w:tcPr>
            <w:tcW w:type="dxa" w:w="2608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041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762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Evidencia y límite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/>
                <w:color w:val="2D3748"/>
                <w:sz w:val="18"/>
              </w:rPr>
              <w:t>Importación de datos y validación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color w:val="2D3748"/>
                <w:sz w:val="18"/>
              </w:rPr>
              <w:t>Construido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color w:val="2D3748"/>
                <w:sz w:val="18"/>
              </w:rPr>
              <w:t>Catálogo, puntos, bodegas, stock y consumo desde Excel/CSV con validación por fila.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/>
                <w:color w:val="2D3748"/>
                <w:sz w:val="18"/>
              </w:rPr>
              <w:t>Riesgo de faltante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color w:val="2D3748"/>
                <w:sz w:val="18"/>
              </w:rPr>
              <w:t>Construido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color w:val="2D3748"/>
                <w:sz w:val="18"/>
              </w:rPr>
              <w:t>Cobertura frente al tiempo de reposición; clasifica Crítico, Alto o Vigilar y explica el cálculo.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/>
                <w:color w:val="2D3748"/>
                <w:sz w:val="18"/>
              </w:rPr>
              <w:t>Rutas con restricciones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color w:val="2D3748"/>
                <w:sz w:val="18"/>
              </w:rPr>
              <w:t>Construido; ensayo técnico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color w:val="2D3748"/>
                <w:sz w:val="18"/>
              </w:rPr>
              <w:t>Capacidad, ventanas, jornada y calles reales. No se garantiza un óptimo global.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/>
                <w:color w:val="2D3748"/>
                <w:sz w:val="18"/>
              </w:rPr>
              <w:t>Comparación A/B/C de costo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color w:val="2D3748"/>
                <w:sz w:val="18"/>
              </w:rPr>
              <w:t>Ensayo técnico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color w:val="2D3748"/>
                <w:sz w:val="18"/>
              </w:rPr>
              <w:t>Flota propia, propia con críticos primero y operador contratado, sobre el escenario sintético de Quito (ver sección 4).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/>
                <w:color w:val="2D3748"/>
                <w:sz w:val="18"/>
              </w:rPr>
              <w:t>Agente de IA con n8n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color w:val="2D3748"/>
                <w:sz w:val="18"/>
              </w:rPr>
              <w:t>Corrida registrada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color w:val="2D3748"/>
                <w:sz w:val="18"/>
              </w:rPr>
              <w:t>Una ejecución registrada completó riesgos, abastecimiento y propuesta de rutas con explicaciones, incluida su caída al respaldo.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/>
                <w:color w:val="2D3748"/>
                <w:sz w:val="18"/>
              </w:rPr>
              <w:t>Aprobación humana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color w:val="2D3748"/>
                <w:sz w:val="18"/>
              </w:rPr>
              <w:t>Construido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color w:val="2D3748"/>
                <w:sz w:val="18"/>
              </w:rPr>
              <w:t>El agente no aprueba ni publica; la política vive en el backend.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/>
                <w:color w:val="2D3748"/>
                <w:sz w:val="18"/>
              </w:rPr>
              <w:t>Custodia con QR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color w:val="2D3748"/>
                <w:sz w:val="18"/>
              </w:rPr>
              <w:t>Construido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color w:val="2D3748"/>
                <w:sz w:val="18"/>
              </w:rPr>
              <w:t>Despacho, entrega y recepción con cantidad, lote, responsable, foto y firma.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/>
                <w:color w:val="2D3748"/>
                <w:sz w:val="18"/>
              </w:rPr>
              <w:t>Trabajo sin señal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color w:val="2D3748"/>
                <w:sz w:val="18"/>
              </w:rPr>
              <w:t>Construido; falta prueba en teléfono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color w:val="2D3748"/>
                <w:sz w:val="18"/>
              </w:rPr>
              <w:t>Cola local y sincronización idempotente. Falta ensayar el recorrido completo en un teléfono sin señal.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/>
                <w:color w:val="2D3748"/>
                <w:sz w:val="18"/>
              </w:rPr>
              <w:t>Simulador de 90 días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color w:val="2D3748"/>
                <w:sz w:val="18"/>
              </w:rPr>
              <w:t>Probado (sintético)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color w:val="2D3748"/>
                <w:sz w:val="18"/>
              </w:rPr>
              <w:t>12 corridas reproducibles por semilla (ver Entregable 4).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3  </w:t>
      </w:r>
      <w:r>
        <w:rPr>
          <w:b/>
          <w:color w:val="2D3748"/>
          <w:sz w:val="34"/>
        </w:rPr>
        <w:t>El sistema en funcionamiento</w:t>
      </w:r>
    </w:p>
    <w:p>
      <w:pPr>
        <w:spacing w:after="120"/>
      </w:pPr>
      <w:r>
        <w:rPr>
          <w:b w:val="0"/>
          <w:i w:val="0"/>
          <w:color w:val="64748B"/>
          <w:sz w:val="19"/>
        </w:rPr>
        <w:t>Capturas del prototipo desplegado en https://istpetdev.doicela.dev.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1502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-ru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5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 w:val="0"/>
          <w:color w:val="64748B"/>
          <w:sz w:val="17"/>
        </w:rPr>
        <w:t>Figura 1. Planificación de rutas: seis vehículos, paradas numeradas sobre calles reales, ventanas horarias y hora estimada de llegada.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0" w:color="FFFFFF"/>
          <w:left w:val="nil" w:sz="0" w:color="FFFFFF"/>
          <w:bottom w:val="nil" w:sz="0" w:color="FFFFFF"/>
          <w:right w:val="nil" w:sz="0" w:color="FFFFFF"/>
          <w:insideH w:val="nil" w:sz="0" w:color="FFFFFF"/>
          <w:insideV w:val="nil" w:sz="0" w:color="FFFFFF"/>
        </w:tblBorders>
        <w:tblLayout w:type="fixed"/>
      </w:tblPr>
      <w:tblGrid>
        <w:gridCol w:w="6690"/>
        <w:gridCol w:w="2721"/>
      </w:tblGrid>
      <w:tr>
        <w:trPr>
          <w:cantSplit/>
        </w:trPr>
        <w:tc>
          <w:tcPr>
            <w:tcW w:type="dxa" w:w="669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31999" cy="212544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a-consol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999" cy="21254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 w:val="0"/>
                <w:i w:val="0"/>
                <w:color w:val="64748B"/>
                <w:sz w:val="17"/>
              </w:rPr>
              <w:t>Figura 2. Consola de control: red de 80 centros de salud, riesgo de stock, rutas y custodia digital.</w:t>
            </w:r>
          </w:p>
        </w:tc>
        <w:tc>
          <w:tcPr>
            <w:tcW w:type="dxa" w:w="2721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7681" cy="237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ptura-qr.png"/>
                          <pic:cNvPicPr/>
                        </pic:nvPicPr>
                        <pic:blipFill>
                          <a:blip r:embed="rId13"/>
                          <a:srcRect r="18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681" cy="23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b w:val="0"/>
                <w:i w:val="0"/>
                <w:color w:val="64748B"/>
                <w:sz w:val="17"/>
              </w:rPr>
              <w:t>Figura 3. Aplicación de campo: escaneo del QR de cada bulto.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4  </w:t>
      </w:r>
      <w:r>
        <w:rPr>
          <w:b/>
          <w:color w:val="2D3748"/>
          <w:sz w:val="34"/>
        </w:rPr>
        <w:t>Evidencia que presentamos</w:t>
      </w:r>
    </w:p>
    <w:p>
      <w:pPr>
        <w:keepNext/>
        <w:spacing w:after="80" w:before="160"/>
      </w:pPr>
      <w:r>
        <w:rPr>
          <w:b/>
          <w:i w:val="0"/>
          <w:color w:val="2D3748"/>
          <w:sz w:val="25"/>
        </w:rPr>
        <w:t>Comparación A/B/C — ensayo técnico del motor</w:t>
      </w:r>
    </w:p>
    <w:p>
      <w:pPr>
        <w:spacing w:after="80"/>
      </w:pPr>
      <w:r>
        <w:rPr>
          <w:b w:val="0"/>
          <w:i w:val="0"/>
          <w:color w:val="64748B"/>
          <w:sz w:val="19"/>
        </w:rPr>
        <w:t>Escenario sintético de Quito (40 puntos; 12 usan referencias de establecimientos públicos), semilla 20261016. Son costos estimados, no mediciones de una empresa.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Layout w:type="fixed"/>
      </w:tblPr>
      <w:tblGrid>
        <w:gridCol w:w="2608"/>
        <w:gridCol w:w="1587"/>
        <w:gridCol w:w="1928"/>
        <w:gridCol w:w="1701"/>
        <w:gridCol w:w="1587"/>
      </w:tblGrid>
      <w:tr>
        <w:trPr>
          <w:tblHeader/>
          <w:cantSplit/>
        </w:trPr>
        <w:tc>
          <w:tcPr>
            <w:tcW w:type="dxa" w:w="2608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Opción</w:t>
            </w:r>
          </w:p>
        </w:tc>
        <w:tc>
          <w:tcPr>
            <w:tcW w:type="dxa" w:w="1587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Costo total</w:t>
            </w:r>
          </w:p>
        </w:tc>
        <w:tc>
          <w:tcPr>
            <w:tcW w:type="dxa" w:w="1928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Críticos a tiempo</w:t>
            </w:r>
          </w:p>
        </w:tc>
        <w:tc>
          <w:tcPr>
            <w:tcW w:type="dxa" w:w="1701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Costo frente a A</w:t>
            </w:r>
          </w:p>
        </w:tc>
        <w:tc>
          <w:tcPr>
            <w:tcW w:type="dxa" w:w="1587"/>
            <w:shd w:val="clear" w:color="auto" w:fill="2D3748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Puntaje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/>
                <w:color w:val="2D3748"/>
                <w:sz w:val="19"/>
              </w:rPr>
              <w:t>A · Flota propia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color w:val="2D3748"/>
                <w:sz w:val="19"/>
              </w:rPr>
              <w:t>USD 57,89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2D3748"/>
                <w:sz w:val="19"/>
              </w:rPr>
              <w:t>5 de 6 (83 %)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color w:val="2D3748"/>
                <w:sz w:val="19"/>
              </w:rPr>
              <w:t>—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color w:val="2D3748"/>
                <w:sz w:val="19"/>
              </w:rPr>
              <w:t>81,7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/>
                <w:color w:val="2D3748"/>
                <w:sz w:val="19"/>
              </w:rPr>
              <w:t>B · Propia, críticos primero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color w:val="2D3748"/>
                <w:sz w:val="19"/>
              </w:rPr>
              <w:t>USD 69,89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2D3748"/>
                <w:sz w:val="19"/>
              </w:rPr>
              <w:t>6 de 6 (100 %)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color w:val="2D3748"/>
                <w:sz w:val="19"/>
              </w:rPr>
              <w:t>+20,7 %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color w:val="2D3748"/>
                <w:sz w:val="19"/>
              </w:rPr>
              <w:t>89,1</w:t>
            </w:r>
          </w:p>
        </w:tc>
      </w:tr>
      <w:tr>
        <w:trPr>
          <w:cantSplit/>
        </w:trPr>
        <w:tc>
          <w:tcPr>
            <w:tcW w:type="dxa" w:w="2608"/>
          </w:tcPr>
          <w:p>
            <w:r/>
            <w:r>
              <w:rPr>
                <w:b/>
                <w:color w:val="2D3748"/>
                <w:sz w:val="19"/>
              </w:rPr>
              <w:t>C · Operador contratado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color w:val="2D3748"/>
                <w:sz w:val="19"/>
              </w:rPr>
              <w:t>USD 66,90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color w:val="2D3748"/>
                <w:sz w:val="19"/>
              </w:rPr>
              <w:t>6 de 6 (100 %)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color w:val="2D3748"/>
                <w:sz w:val="19"/>
              </w:rPr>
              <w:t>+15,6 %</w:t>
            </w:r>
          </w:p>
        </w:tc>
        <w:tc>
          <w:tcPr>
            <w:tcW w:type="dxa" w:w="1587"/>
          </w:tcPr>
          <w:p>
            <w:r/>
            <w:r>
              <w:rPr>
                <w:b w:val="0"/>
                <w:color w:val="2D3748"/>
                <w:sz w:val="19"/>
              </w:rPr>
              <w:t>90,8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2D3748"/>
          <w:sz w:val="21"/>
        </w:rPr>
        <w:t>El motor recomienda C: pondera por igual costo y críticos a tiempo, más pedidos pendientes y riesgo. La opción más barata no siempre es la mejor. C cuesta 4,3 % menos que B.</w:t>
      </w:r>
    </w:p>
    <w:p>
      <w:pPr>
        <w:spacing w:after="160"/>
        <w:pBdr>
          <w:left w:val="single" w:sz="30" w:space="8" w:color="EA601F"/>
        </w:pBdr>
      </w:pPr>
      <w:r>
        <w:rPr>
          <w:b/>
          <w:color w:val="2D3748"/>
          <w:sz w:val="20"/>
        </w:rPr>
        <w:t xml:space="preserve">Límite: </w:t>
      </w:r>
      <w:r>
        <w:rPr>
          <w:b w:val="0"/>
          <w:color w:val="2D3748"/>
          <w:sz w:val="20"/>
        </w:rPr>
        <w:t>es un ensayo técnico local sobre datos sintéticos; no representa clientes ni viajes medidos y todavía no corre en producción. El desglose por componente de esa corrida no suma el total y no se presenta.</w:t>
      </w:r>
    </w:p>
    <w:p>
      <w:pPr>
        <w:keepNext/>
        <w:spacing w:after="80" w:before="160"/>
      </w:pPr>
      <w:r>
        <w:rPr>
          <w:b/>
          <w:i w:val="0"/>
          <w:color w:val="2D3748"/>
          <w:sz w:val="25"/>
        </w:rPr>
        <w:t>Recorrido de la demostración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Paso 1. </w:t>
      </w:r>
      <w:r>
        <w:rPr>
          <w:b w:val="0"/>
          <w:color w:val="2D3748"/>
          <w:sz w:val="21"/>
        </w:rPr>
        <w:t>El sistema detecta que un punto entra en riesgo y lo avisa en pantalla, con días de cobertura y cantidad sugerida.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Paso 2. </w:t>
      </w:r>
      <w:r>
        <w:rPr>
          <w:b w:val="0"/>
          <w:color w:val="2D3748"/>
          <w:sz w:val="21"/>
        </w:rPr>
        <w:t>El planificador compara las opciones A/B/C y la IA explica la recomendación del motor.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Paso 3. </w:t>
      </w:r>
      <w:r>
        <w:rPr>
          <w:b w:val="0"/>
          <w:color w:val="2D3748"/>
          <w:sz w:val="21"/>
        </w:rPr>
        <w:t>La persona aprueba y se publica la ruta; la bodega despacha escaneando el QR de cada caja.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Paso 4. </w:t>
      </w:r>
      <w:r>
        <w:rPr>
          <w:b w:val="0"/>
          <w:color w:val="2D3748"/>
          <w:sz w:val="21"/>
        </w:rPr>
        <w:t>El conductor entrega y el receptor emite su dictamen («Todo conforme» o «Pasó algo malo»), con o sin señal.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Paso 5. </w:t>
      </w:r>
      <w:r>
        <w:rPr>
          <w:b w:val="0"/>
          <w:color w:val="2D3748"/>
          <w:sz w:val="21"/>
        </w:rPr>
        <w:t>Gerencia y auditoría consultan indicadores y la cadena de custodia desde la Torre de Control.</w:t>
      </w: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5  </w:t>
      </w:r>
      <w:r>
        <w:rPr>
          <w:b/>
          <w:color w:val="2D3748"/>
          <w:sz w:val="34"/>
        </w:rPr>
        <w:t>Plan de respaldo para la presentación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Conectividad: </w:t>
      </w:r>
      <w:r>
        <w:rPr>
          <w:b w:val="0"/>
          <w:color w:val="2D3748"/>
          <w:sz w:val="21"/>
        </w:rPr>
        <w:t>la sede tiene la red saturada; la demostración usa un punto de acceso móvil 4G propio. La navegación y el consumo de la API se verificaron sobre esa red.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Falla total de la nube: </w:t>
      </w:r>
      <w:r>
        <w:rPr>
          <w:b w:val="0"/>
          <w:color w:val="2D3748"/>
          <w:sz w:val="21"/>
        </w:rPr>
        <w:t>existe un entorno espejo local (base, caché, API y web en una laptop) al que los teléfonos acceden por red local.</w:t>
      </w:r>
    </w:p>
    <w:p>
      <w:pPr>
        <w:pStyle w:val="ListBullet"/>
        <w:spacing w:after="60"/>
      </w:pPr>
      <w:r>
        <w:rPr>
          <w:b/>
          <w:color w:val="2D3748"/>
          <w:sz w:val="21"/>
        </w:rPr>
        <w:t xml:space="preserve">Falla del agente: </w:t>
      </w:r>
      <w:r>
        <w:rPr>
          <w:b w:val="0"/>
          <w:color w:val="2D3748"/>
          <w:sz w:val="21"/>
        </w:rPr>
        <w:t>el cálculo se conserva y la explicación vuelve a una plantilla determinista en 10 s o menos.</w:t>
      </w:r>
    </w:p>
    <w:p>
      <w:pPr>
        <w:pStyle w:val="Heading1"/>
        <w:keepNext/>
        <w:spacing w:before="280" w:after="120"/>
        <w:pBdr>
          <w:bottom w:val="single" w:sz="12" w:space="4" w:color="00A7C4"/>
        </w:pBdr>
      </w:pPr>
      <w:r>
        <w:rPr>
          <w:b/>
          <w:color w:val="00A7C4"/>
          <w:sz w:val="34"/>
        </w:rPr>
        <w:t xml:space="preserve">6  </w:t>
      </w:r>
      <w:r>
        <w:rPr>
          <w:b/>
          <w:color w:val="2D3748"/>
          <w:sz w:val="34"/>
        </w:rPr>
        <w:t>Qué falta</w:t>
      </w:r>
    </w:p>
    <w:p>
      <w:pPr>
        <w:pStyle w:val="ListBullet"/>
        <w:spacing w:after="60"/>
      </w:pPr>
      <w:r>
        <w:rPr>
          <w:b w:val="0"/>
          <w:color w:val="2D3748"/>
          <w:sz w:val="21"/>
        </w:rPr>
        <w:t>Ensayar el recorrido sin señal en un teléfono real y medir los tiempos de la presentación.</w:t>
      </w:r>
    </w:p>
    <w:p>
      <w:pPr>
        <w:pStyle w:val="ListBullet"/>
        <w:spacing w:after="60"/>
      </w:pPr>
      <w:r>
        <w:rPr>
          <w:b w:val="0"/>
          <w:color w:val="2D3748"/>
          <w:sz w:val="21"/>
        </w:rPr>
        <w:t>Llevar la comparación A/B/C a producción y conectarla a la pantalla.</w:t>
      </w:r>
    </w:p>
    <w:p>
      <w:pPr>
        <w:pStyle w:val="ListBullet"/>
        <w:spacing w:after="60"/>
      </w:pPr>
      <w:r>
        <w:rPr>
          <w:b w:val="0"/>
          <w:color w:val="2D3748"/>
          <w:sz w:val="21"/>
        </w:rPr>
        <w:t>Medir con datos de una empresa real: el prototipo usa escenarios sintéticos.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IstpetDev · Hackathon Expo Clean Ecuador 2026 · Reto 1 · Entregable 3 — Prototipo / demo · pág. </w:t>
    </w:r>
    <w:r>
      <w:rPr>
        <w:color w:val="64748B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