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0"/>
          <w:szCs w:val="40"/>
        </w:rPr>
        <w:t xml:space="preserve">GFO Pilots Phase 2</w:t>
      </w:r>
    </w:p>
    <w:p>
      <w:pPr>
        <w:spacing w:after="200"/>
      </w:pPr>
      <w:r>
        <w:rPr>
          <w:color w:val="444444"/>
          <w:sz w:val="28"/>
          <w:szCs w:val="28"/>
        </w:rPr>
        <w:t xml:space="preserve">Scope Reduction Request</w:t>
      </w:r>
    </w:p>
    <w:p>
      <w:pPr>
        <w:pBdr>
          <w:bottom w:val="single" w:color="BFBFBF" w:sz="6" w:space="1"/>
        </w:pBdr>
        <w:spacing w:after="200" w:before="100"/>
      </w:pPr>
      <w:r>
        <w:rPr>
          <w:sz w:val="2"/>
          <w:szCs w:val="2"/>
        </w:rPr>
        <w:t xml:space="preserve"/>
      </w:r>
    </w:p>
    <w:p>
      <w:pPr>
        <w:spacing w:after="60" w:line="276"/>
      </w:pPr>
      <w:r>
        <w:rPr>
          <w:b/>
          <w:bCs/>
          <w:sz w:val="21"/>
          <w:szCs w:val="21"/>
        </w:rPr>
        <w:t xml:space="preserve">Re:  </w:t>
      </w:r>
      <w:r>
        <w:rPr>
          <w:sz w:val="21"/>
          <w:szCs w:val="21"/>
        </w:rPr>
        <w:t xml:space="preserve">Quote PG-CD-0726-516, dated 07/10/2026, revised 07/27/2026</w:t>
      </w:r>
    </w:p>
    <w:p>
      <w:pPr>
        <w:spacing w:after="60" w:line="276"/>
      </w:pPr>
      <w:r>
        <w:rPr>
          <w:b/>
          <w:bCs/>
          <w:sz w:val="21"/>
          <w:szCs w:val="21"/>
        </w:rPr>
        <w:t xml:space="preserve">To:  </w:t>
      </w:r>
      <w:r>
        <w:rPr>
          <w:sz w:val="21"/>
          <w:szCs w:val="21"/>
        </w:rPr>
        <w:t xml:space="preserve">Robert Feltner, Mike Sliper — Creative Elements Group</w:t>
      </w:r>
    </w:p>
    <w:p>
      <w:pPr>
        <w:spacing w:after="200" w:line="276"/>
      </w:pPr>
      <w:r>
        <w:rPr>
          <w:b/>
          <w:bCs/>
          <w:sz w:val="21"/>
          <w:szCs w:val="21"/>
        </w:rPr>
        <w:t xml:space="preserve">From:  </w:t>
      </w:r>
      <w:r>
        <w:rPr>
          <w:sz w:val="21"/>
          <w:szCs w:val="21"/>
        </w:rPr>
        <w:t xml:space="preserve">Bryan Dunlop, P&amp;G Global Flight Operations</w:t>
      </w:r>
    </w:p>
    <w:p>
      <w:pPr>
        <w:pBdr>
          <w:bottom w:val="single" w:color="BFBFBF" w:sz="6" w:space="1"/>
        </w:pBdr>
        <w:spacing w:after="200" w:before="100"/>
      </w:pPr>
      <w:r>
        <w:rPr>
          <w:sz w:val="2"/>
          <w:szCs w:val="2"/>
        </w:rPr>
        <w:t xml:space="preserve"/>
      </w:r>
    </w:p>
    <w:p>
      <w:pPr>
        <w:pStyle w:val="Heading1"/>
        <w:spacing w:after="160" w:before="340"/>
      </w:pPr>
      <w:r>
        <w:rPr>
          <w:b/>
          <w:bCs/>
          <w:color w:val="1F3864"/>
          <w:sz w:val="28"/>
          <w:szCs w:val="28"/>
        </w:rPr>
        <w:t xml:space="preserve">Summary</w:t>
      </w:r>
    </w:p>
    <w:p>
      <w:pPr>
        <w:spacing w:after="140" w:line="276"/>
      </w:pPr>
      <w:r>
        <w:rPr>
          <w:sz w:val="21"/>
          <w:szCs w:val="21"/>
        </w:rPr>
        <w:t xml:space="preserve">We’d like to proceed with Phase 2 at a reduced scope. The full quote (1,142 hrs / $97,070) is beyond the funding available this cycle. This document proposes a 513-hour scope at $43,605, keeps the Tech Log as the single major module, and defers the remaining 629 hours to a later phase.</w:t>
      </w:r>
    </w:p>
    <w:p>
      <w:pPr>
        <w:spacing w:after="140" w:line="276"/>
      </w:pPr>
      <w:r>
        <w:rPr>
          <w:sz w:val="21"/>
          <w:szCs w:val="21"/>
        </w:rPr>
        <w:t xml:space="preserve">For the Tech Log specifically, we’re proposing a change in approach: rather than rebuilding from the prototype as a wireframe, we’ll hand over the working module — front end, rule engines, and test suite — for CEG to port and build production infrastructure underneath. Section 2 sets out exactly what we’re providing and what remains to be built. Section 3 lists the acceptance artifacts we’ll supply alongside the code.</w:t>
      </w:r>
    </w:p>
    <w:p>
      <w:pPr>
        <w:spacing w:after="140" w:line="276"/>
      </w:pPr>
      <w:r>
        <w:rPr>
          <w:sz w:val="21"/>
          <w:szCs w:val="21"/>
        </w:rPr>
        <w:t xml:space="preserve">There are also a number of items in the quote we’d like clarified or corrected before this goes to a PO. Those are in sections 4 and 5.</w:t>
      </w:r>
    </w:p>
    <w:p>
      <w:pPr>
        <w:pStyle w:val="Heading1"/>
        <w:spacing w:after="160" w:before="340"/>
      </w:pPr>
      <w:r>
        <w:rPr>
          <w:b/>
          <w:bCs/>
          <w:color w:val="1F3864"/>
          <w:sz w:val="28"/>
          <w:szCs w:val="28"/>
        </w:rPr>
        <w:t xml:space="preserve">1.  Proposed Phase 2 scope — 513 hrs / $43,605</w:t>
      </w:r>
    </w:p>
    <w:tbl>
      <w:tblPr>
        <w:tblW w:type="dxa" w:w="9360"/>
        <w:tblBorders>
          <w:top w:val="single" w:color="BFBFBF" w:sz="4"/>
          <w:left w:val="none" w:color="FFFFFF" w:sz="0"/>
          <w:bottom w:val="single" w:color="BFBFBF" w:sz="4"/>
          <w:right w:val="none" w:color="FFFFFF" w:sz="0"/>
          <w:insideH w:val="single" w:color="DDDDDD" w:sz="2"/>
          <w:insideV w:val="none" w:color="FFFFFF" w:sz="0"/>
        </w:tblBorders>
      </w:tblPr>
      <w:tblGrid>
        <w:gridCol w:w="720"/>
        <w:gridCol w:w="7200"/>
        <w:gridCol w:w="1440"/>
      </w:tblGrid>
      <w:tr>
        <w:trPr>
          <w:tblHeader/>
        </w:trPr>
        <w:tc>
          <w:tcPr>
            <w:tcW w:type="dxa" w:w="720"/>
            <w:shd w:fill="E8EDF5" w:color="auto" w:val="clear"/>
            <w:tcMar>
              <w:top w:type="dxa" w:w="70"/>
              <w:left w:type="dxa" w:w="110"/>
              <w:bottom w:type="dxa" w:w="70"/>
              <w:right w:type="dxa" w:w="110"/>
            </w:tcMar>
          </w:tcPr>
          <w:p>
            <w:pPr>
              <w:spacing w:after="0" w:line="260"/>
            </w:pPr>
            <w:r>
              <w:rPr>
                <w:b/>
                <w:bCs/>
                <w:sz w:val="20"/>
                <w:szCs w:val="20"/>
              </w:rPr>
              <w:t xml:space="preserve">#</w:t>
            </w:r>
          </w:p>
        </w:tc>
        <w:tc>
          <w:tcPr>
            <w:tcW w:type="dxa" w:w="7200"/>
            <w:shd w:fill="E8EDF5" w:color="auto" w:val="clear"/>
            <w:tcMar>
              <w:top w:type="dxa" w:w="70"/>
              <w:left w:type="dxa" w:w="110"/>
              <w:bottom w:type="dxa" w:w="70"/>
              <w:right w:type="dxa" w:w="110"/>
            </w:tcMar>
          </w:tcPr>
          <w:p>
            <w:pPr>
              <w:spacing w:after="0" w:line="260"/>
            </w:pPr>
            <w:r>
              <w:rPr>
                <w:b/>
                <w:bCs/>
                <w:sz w:val="20"/>
                <w:szCs w:val="20"/>
              </w:rPr>
              <w:t xml:space="preserve">Item</w:t>
            </w:r>
          </w:p>
        </w:tc>
        <w:tc>
          <w:tcPr>
            <w:tcW w:type="dxa" w:w="1440"/>
            <w:shd w:fill="E8EDF5" w:color="auto" w:val="clear"/>
            <w:tcMar>
              <w:top w:type="dxa" w:w="70"/>
              <w:left w:type="dxa" w:w="110"/>
              <w:bottom w:type="dxa" w:w="70"/>
              <w:right w:type="dxa" w:w="110"/>
            </w:tcMar>
          </w:tcPr>
          <w:p>
            <w:pPr>
              <w:spacing w:after="0" w:line="260"/>
              <w:jc w:val="right"/>
            </w:pPr>
            <w:r>
              <w:rPr>
                <w:b/>
                <w:bCs/>
                <w:sz w:val="20"/>
                <w:szCs w:val="20"/>
              </w:rPr>
              <w:t xml:space="preserve">Hrs</w:t>
            </w:r>
          </w:p>
        </w:tc>
      </w:tr>
      <w:tr>
        <w:tc>
          <w:tcPr>
            <w:tcW w:type="dxa" w:w="720"/>
            <w:tcMar>
              <w:top w:type="dxa" w:w="70"/>
              <w:left w:type="dxa" w:w="110"/>
              <w:bottom w:type="dxa" w:w="70"/>
              <w:right w:type="dxa" w:w="110"/>
            </w:tcMar>
          </w:tcPr>
          <w:p>
            <w:pPr>
              <w:spacing w:after="0" w:line="260"/>
            </w:pPr>
            <w:r>
              <w:rPr>
                <w:sz w:val="20"/>
                <w:szCs w:val="20"/>
              </w:rPr>
              <w:t xml:space="preserve">1</w:t>
            </w:r>
          </w:p>
        </w:tc>
        <w:tc>
          <w:tcPr>
            <w:tcW w:type="dxa" w:w="7200"/>
            <w:tcMar>
              <w:top w:type="dxa" w:w="70"/>
              <w:left w:type="dxa" w:w="110"/>
              <w:bottom w:type="dxa" w:w="70"/>
              <w:right w:type="dxa" w:w="110"/>
            </w:tcMar>
          </w:tcPr>
          <w:p>
            <w:pPr>
              <w:spacing w:after="0" w:line="260"/>
            </w:pPr>
            <w:r>
              <w:rPr>
                <w:sz w:val="20"/>
                <w:szCs w:val="20"/>
              </w:rPr>
              <w:t xml:space="preserve">Tech Log</w:t>
            </w:r>
          </w:p>
        </w:tc>
        <w:tc>
          <w:tcPr>
            <w:tcW w:type="dxa" w:w="1440"/>
            <w:tcMar>
              <w:top w:type="dxa" w:w="70"/>
              <w:left w:type="dxa" w:w="110"/>
              <w:bottom w:type="dxa" w:w="70"/>
              <w:right w:type="dxa" w:w="110"/>
            </w:tcMar>
          </w:tcPr>
          <w:p>
            <w:pPr>
              <w:spacing w:after="0" w:line="260"/>
              <w:jc w:val="right"/>
            </w:pPr>
            <w:r>
              <w:rPr>
                <w:sz w:val="20"/>
                <w:szCs w:val="20"/>
              </w:rPr>
              <w:t xml:space="preserve">160</w:t>
            </w:r>
          </w:p>
        </w:tc>
      </w:tr>
      <w:tr>
        <w:tc>
          <w:tcPr>
            <w:tcW w:type="dxa" w:w="720"/>
            <w:shd w:fill="F5F7FA" w:color="auto" w:val="clear"/>
            <w:tcMar>
              <w:top w:type="dxa" w:w="70"/>
              <w:left w:type="dxa" w:w="110"/>
              <w:bottom w:type="dxa" w:w="70"/>
              <w:right w:type="dxa" w:w="110"/>
            </w:tcMar>
          </w:tcPr>
          <w:p>
            <w:pPr>
              <w:spacing w:after="0" w:line="260"/>
            </w:pPr>
            <w:r>
              <w:rPr>
                <w:sz w:val="20"/>
                <w:szCs w:val="20"/>
              </w:rPr>
              <w:t xml:space="preserve">2</w:t>
            </w:r>
          </w:p>
        </w:tc>
        <w:tc>
          <w:tcPr>
            <w:tcW w:type="dxa" w:w="7200"/>
            <w:shd w:fill="F5F7FA" w:color="auto" w:val="clear"/>
            <w:tcMar>
              <w:top w:type="dxa" w:w="70"/>
              <w:left w:type="dxa" w:w="110"/>
              <w:bottom w:type="dxa" w:w="70"/>
              <w:right w:type="dxa" w:w="110"/>
            </w:tcMar>
          </w:tcPr>
          <w:p>
            <w:pPr>
              <w:spacing w:after="0" w:line="260"/>
            </w:pPr>
            <w:r>
              <w:rPr>
                <w:sz w:val="20"/>
                <w:szCs w:val="20"/>
              </w:rPr>
              <w:t xml:space="preserve">Inventory V2</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120</w:t>
            </w:r>
          </w:p>
        </w:tc>
      </w:tr>
      <w:tr>
        <w:tc>
          <w:tcPr>
            <w:tcW w:type="dxa" w:w="720"/>
            <w:tcMar>
              <w:top w:type="dxa" w:w="70"/>
              <w:left w:type="dxa" w:w="110"/>
              <w:bottom w:type="dxa" w:w="70"/>
              <w:right w:type="dxa" w:w="110"/>
            </w:tcMar>
          </w:tcPr>
          <w:p>
            <w:pPr>
              <w:spacing w:after="0" w:line="260"/>
            </w:pPr>
            <w:r>
              <w:rPr>
                <w:sz w:val="20"/>
                <w:szCs w:val="20"/>
              </w:rPr>
              <w:t xml:space="preserve">3</w:t>
            </w:r>
          </w:p>
        </w:tc>
        <w:tc>
          <w:tcPr>
            <w:tcW w:type="dxa" w:w="7200"/>
            <w:tcMar>
              <w:top w:type="dxa" w:w="70"/>
              <w:left w:type="dxa" w:w="110"/>
              <w:bottom w:type="dxa" w:w="70"/>
              <w:right w:type="dxa" w:w="110"/>
            </w:tcMar>
          </w:tcPr>
          <w:p>
            <w:pPr>
              <w:spacing w:after="0" w:line="260"/>
            </w:pPr>
            <w:r>
              <w:rPr>
                <w:sz w:val="20"/>
                <w:szCs w:val="20"/>
              </w:rPr>
              <w:t xml:space="preserve">Pilot handoff slice (carved from Pilot Preflight Workflow)</w:t>
            </w:r>
          </w:p>
        </w:tc>
        <w:tc>
          <w:tcPr>
            <w:tcW w:type="dxa" w:w="1440"/>
            <w:tcMar>
              <w:top w:type="dxa" w:w="70"/>
              <w:left w:type="dxa" w:w="110"/>
              <w:bottom w:type="dxa" w:w="70"/>
              <w:right w:type="dxa" w:w="110"/>
            </w:tcMar>
          </w:tcPr>
          <w:p>
            <w:pPr>
              <w:spacing w:after="0" w:line="260"/>
              <w:jc w:val="right"/>
            </w:pPr>
            <w:r>
              <w:rPr>
                <w:sz w:val="20"/>
                <w:szCs w:val="20"/>
              </w:rPr>
              <w:t xml:space="preserve">40</w:t>
            </w:r>
          </w:p>
        </w:tc>
      </w:tr>
      <w:tr>
        <w:tc>
          <w:tcPr>
            <w:tcW w:type="dxa" w:w="720"/>
            <w:shd w:fill="F5F7FA" w:color="auto" w:val="clear"/>
            <w:tcMar>
              <w:top w:type="dxa" w:w="70"/>
              <w:left w:type="dxa" w:w="110"/>
              <w:bottom w:type="dxa" w:w="70"/>
              <w:right w:type="dxa" w:w="110"/>
            </w:tcMar>
          </w:tcPr>
          <w:p>
            <w:pPr>
              <w:spacing w:after="0" w:line="260"/>
            </w:pPr>
            <w:r>
              <w:rPr>
                <w:sz w:val="20"/>
                <w:szCs w:val="20"/>
              </w:rPr>
              <w:t xml:space="preserve">4</w:t>
            </w:r>
          </w:p>
        </w:tc>
        <w:tc>
          <w:tcPr>
            <w:tcW w:type="dxa" w:w="7200"/>
            <w:shd w:fill="F5F7FA" w:color="auto" w:val="clear"/>
            <w:tcMar>
              <w:top w:type="dxa" w:w="70"/>
              <w:left w:type="dxa" w:w="110"/>
              <w:bottom w:type="dxa" w:w="70"/>
              <w:right w:type="dxa" w:w="110"/>
            </w:tcMar>
          </w:tcPr>
          <w:p>
            <w:pPr>
              <w:spacing w:after="0" w:line="260"/>
            </w:pPr>
            <w:r>
              <w:rPr>
                <w:sz w:val="20"/>
                <w:szCs w:val="20"/>
              </w:rPr>
              <w:t xml:space="preserve">Push Notifications</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40</w:t>
            </w:r>
          </w:p>
        </w:tc>
      </w:tr>
      <w:tr>
        <w:tc>
          <w:tcPr>
            <w:tcW w:type="dxa" w:w="720"/>
            <w:tcMar>
              <w:top w:type="dxa" w:w="70"/>
              <w:left w:type="dxa" w:w="110"/>
              <w:bottom w:type="dxa" w:w="70"/>
              <w:right w:type="dxa" w:w="110"/>
            </w:tcMar>
          </w:tcPr>
          <w:p>
            <w:pPr>
              <w:spacing w:after="0" w:line="260"/>
            </w:pPr>
            <w:r>
              <w:rPr>
                <w:sz w:val="20"/>
                <w:szCs w:val="20"/>
              </w:rPr>
              <w:t xml:space="preserve">5</w:t>
            </w:r>
          </w:p>
        </w:tc>
        <w:tc>
          <w:tcPr>
            <w:tcW w:type="dxa" w:w="7200"/>
            <w:tcMar>
              <w:top w:type="dxa" w:w="70"/>
              <w:left w:type="dxa" w:w="110"/>
              <w:bottom w:type="dxa" w:w="70"/>
              <w:right w:type="dxa" w:w="110"/>
            </w:tcMar>
          </w:tcPr>
          <w:p>
            <w:pPr>
              <w:spacing w:after="0" w:line="260"/>
            </w:pPr>
            <w:r>
              <w:rPr>
                <w:sz w:val="20"/>
                <w:szCs w:val="20"/>
              </w:rPr>
              <w:t xml:space="preserve">Passenger Profile — myAirOps integration</w:t>
            </w:r>
          </w:p>
        </w:tc>
        <w:tc>
          <w:tcPr>
            <w:tcW w:type="dxa" w:w="1440"/>
            <w:tcMar>
              <w:top w:type="dxa" w:w="70"/>
              <w:left w:type="dxa" w:w="110"/>
              <w:bottom w:type="dxa" w:w="70"/>
              <w:right w:type="dxa" w:w="110"/>
            </w:tcMar>
          </w:tcPr>
          <w:p>
            <w:pPr>
              <w:spacing w:after="0" w:line="260"/>
              <w:jc w:val="right"/>
            </w:pPr>
            <w:r>
              <w:rPr>
                <w:sz w:val="20"/>
                <w:szCs w:val="20"/>
              </w:rPr>
              <w:t xml:space="preserve">32</w:t>
            </w:r>
          </w:p>
        </w:tc>
      </w:tr>
      <w:tr>
        <w:tc>
          <w:tcPr>
            <w:tcW w:type="dxa" w:w="720"/>
            <w:shd w:fill="F5F7FA" w:color="auto" w:val="clear"/>
            <w:tcMar>
              <w:top w:type="dxa" w:w="70"/>
              <w:left w:type="dxa" w:w="110"/>
              <w:bottom w:type="dxa" w:w="70"/>
              <w:right w:type="dxa" w:w="110"/>
            </w:tcMar>
          </w:tcPr>
          <w:p>
            <w:pPr>
              <w:spacing w:after="0" w:line="260"/>
            </w:pPr>
            <w:r>
              <w:rPr>
                <w:sz w:val="20"/>
                <w:szCs w:val="20"/>
              </w:rPr>
              <w:t xml:space="preserve">6</w:t>
            </w:r>
          </w:p>
        </w:tc>
        <w:tc>
          <w:tcPr>
            <w:tcW w:type="dxa" w:w="7200"/>
            <w:shd w:fill="F5F7FA" w:color="auto" w:val="clear"/>
            <w:tcMar>
              <w:top w:type="dxa" w:w="70"/>
              <w:left w:type="dxa" w:w="110"/>
              <w:bottom w:type="dxa" w:w="70"/>
              <w:right w:type="dxa" w:w="110"/>
            </w:tcMar>
          </w:tcPr>
          <w:p>
            <w:pPr>
              <w:spacing w:after="0" w:line="260"/>
            </w:pPr>
            <w:r>
              <w:rPr>
                <w:sz w:val="20"/>
                <w:szCs w:val="20"/>
              </w:rPr>
              <w:t xml:space="preserve">Procedural Bulletins</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32</w:t>
            </w:r>
          </w:p>
        </w:tc>
      </w:tr>
      <w:tr>
        <w:tc>
          <w:tcPr>
            <w:tcW w:type="dxa" w:w="720"/>
            <w:tcMar>
              <w:top w:type="dxa" w:w="70"/>
              <w:left w:type="dxa" w:w="110"/>
              <w:bottom w:type="dxa" w:w="70"/>
              <w:right w:type="dxa" w:w="110"/>
            </w:tcMar>
          </w:tcPr>
          <w:p>
            <w:pPr>
              <w:spacing w:after="0" w:line="260"/>
            </w:pPr>
            <w:r>
              <w:rPr>
                <w:sz w:val="20"/>
                <w:szCs w:val="20"/>
              </w:rPr>
              <w:t xml:space="preserve">7</w:t>
            </w:r>
          </w:p>
        </w:tc>
        <w:tc>
          <w:tcPr>
            <w:tcW w:type="dxa" w:w="7200"/>
            <w:tcMar>
              <w:top w:type="dxa" w:w="70"/>
              <w:left w:type="dxa" w:w="110"/>
              <w:bottom w:type="dxa" w:w="70"/>
              <w:right w:type="dxa" w:w="110"/>
            </w:tcMar>
          </w:tcPr>
          <w:p>
            <w:pPr>
              <w:spacing w:after="0" w:line="260"/>
            </w:pPr>
            <w:r>
              <w:rPr>
                <w:sz w:val="20"/>
                <w:szCs w:val="20"/>
              </w:rPr>
              <w:t xml:space="preserve">Currency dashboard enhancements</w:t>
            </w:r>
          </w:p>
        </w:tc>
        <w:tc>
          <w:tcPr>
            <w:tcW w:type="dxa" w:w="1440"/>
            <w:tcMar>
              <w:top w:type="dxa" w:w="70"/>
              <w:left w:type="dxa" w:w="110"/>
              <w:bottom w:type="dxa" w:w="70"/>
              <w:right w:type="dxa" w:w="110"/>
            </w:tcMar>
          </w:tcPr>
          <w:p>
            <w:pPr>
              <w:spacing w:after="0" w:line="260"/>
              <w:jc w:val="right"/>
            </w:pPr>
            <w:r>
              <w:rPr>
                <w:sz w:val="20"/>
                <w:szCs w:val="20"/>
              </w:rPr>
              <w:t xml:space="preserve">12</w:t>
            </w:r>
          </w:p>
        </w:tc>
      </w:tr>
      <w:tr>
        <w:tc>
          <w:tcPr>
            <w:tcW w:type="dxa" w:w="720"/>
            <w:shd w:fill="F5F7FA" w:color="auto" w:val="clear"/>
            <w:tcMar>
              <w:top w:type="dxa" w:w="70"/>
              <w:left w:type="dxa" w:w="110"/>
              <w:bottom w:type="dxa" w:w="70"/>
              <w:right w:type="dxa" w:w="110"/>
            </w:tcMar>
          </w:tcPr>
          <w:p>
            <w:pPr>
              <w:spacing w:after="0" w:line="260"/>
            </w:pPr>
            <w:r>
              <w:rPr>
                <w:sz w:val="20"/>
                <w:szCs w:val="20"/>
              </w:rPr>
              <w:t xml:space="preserve">8</w:t>
            </w:r>
          </w:p>
        </w:tc>
        <w:tc>
          <w:tcPr>
            <w:tcW w:type="dxa" w:w="7200"/>
            <w:shd w:fill="F5F7FA" w:color="auto" w:val="clear"/>
            <w:tcMar>
              <w:top w:type="dxa" w:w="70"/>
              <w:left w:type="dxa" w:w="110"/>
              <w:bottom w:type="dxa" w:w="70"/>
              <w:right w:type="dxa" w:w="110"/>
            </w:tcMar>
          </w:tcPr>
          <w:p>
            <w:pPr>
              <w:spacing w:after="0" w:line="260"/>
            </w:pPr>
            <w:r>
              <w:rPr>
                <w:sz w:val="20"/>
                <w:szCs w:val="20"/>
              </w:rPr>
              <w:t xml:space="preserve">Crew Workload enhancements</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12</w:t>
            </w:r>
          </w:p>
        </w:tc>
      </w:tr>
      <w:tr>
        <w:tc>
          <w:tcPr>
            <w:tcW w:type="dxa" w:w="720"/>
            <w:tcMar>
              <w:top w:type="dxa" w:w="70"/>
              <w:left w:type="dxa" w:w="110"/>
              <w:bottom w:type="dxa" w:w="70"/>
              <w:right w:type="dxa" w:w="110"/>
            </w:tcMar>
          </w:tcPr>
          <w:p>
            <w:pPr>
              <w:spacing w:after="0" w:line="260"/>
            </w:pPr>
            <w:r>
              <w:rPr>
                <w:sz w:val="20"/>
                <w:szCs w:val="20"/>
              </w:rPr>
              <w:t xml:space="preserve">9</w:t>
            </w:r>
          </w:p>
        </w:tc>
        <w:tc>
          <w:tcPr>
            <w:tcW w:type="dxa" w:w="7200"/>
            <w:tcMar>
              <w:top w:type="dxa" w:w="70"/>
              <w:left w:type="dxa" w:w="110"/>
              <w:bottom w:type="dxa" w:w="70"/>
              <w:right w:type="dxa" w:w="110"/>
            </w:tcMar>
          </w:tcPr>
          <w:p>
            <w:pPr>
              <w:spacing w:after="0" w:line="260"/>
            </w:pPr>
            <w:r>
              <w:rPr>
                <w:sz w:val="20"/>
                <w:szCs w:val="20"/>
              </w:rPr>
              <w:t xml:space="preserve">Vacation request for scheduling role</w:t>
            </w:r>
          </w:p>
        </w:tc>
        <w:tc>
          <w:tcPr>
            <w:tcW w:type="dxa" w:w="1440"/>
            <w:tcMar>
              <w:top w:type="dxa" w:w="70"/>
              <w:left w:type="dxa" w:w="110"/>
              <w:bottom w:type="dxa" w:w="70"/>
              <w:right w:type="dxa" w:w="110"/>
            </w:tcMar>
          </w:tcPr>
          <w:p>
            <w:pPr>
              <w:spacing w:after="0" w:line="260"/>
              <w:jc w:val="right"/>
            </w:pPr>
            <w:r>
              <w:rPr>
                <w:sz w:val="20"/>
                <w:szCs w:val="20"/>
              </w:rPr>
              <w:t xml:space="preserve">12</w:t>
            </w:r>
          </w:p>
        </w:tc>
      </w:tr>
      <w:tr>
        <w:tc>
          <w:tcPr>
            <w:tcW w:type="dxa" w:w="720"/>
            <w:shd w:fill="F5F7FA" w:color="auto" w:val="clear"/>
            <w:tcMar>
              <w:top w:type="dxa" w:w="70"/>
              <w:left w:type="dxa" w:w="110"/>
              <w:bottom w:type="dxa" w:w="70"/>
              <w:right w:type="dxa" w:w="110"/>
            </w:tcMar>
          </w:tcPr>
          <w:p>
            <w:pPr>
              <w:spacing w:after="0" w:line="260"/>
            </w:pPr>
            <w:r>
              <w:rPr>
                <w:sz w:val="20"/>
                <w:szCs w:val="20"/>
              </w:rPr>
              <w:t xml:space="preserve">10</w:t>
            </w:r>
          </w:p>
        </w:tc>
        <w:tc>
          <w:tcPr>
            <w:tcW w:type="dxa" w:w="7200"/>
            <w:shd w:fill="F5F7FA" w:color="auto" w:val="clear"/>
            <w:tcMar>
              <w:top w:type="dxa" w:w="70"/>
              <w:left w:type="dxa" w:w="110"/>
              <w:bottom w:type="dxa" w:w="70"/>
              <w:right w:type="dxa" w:w="110"/>
            </w:tcMar>
          </w:tcPr>
          <w:p>
            <w:pPr>
              <w:spacing w:after="0" w:line="260"/>
            </w:pPr>
            <w:r>
              <w:rPr>
                <w:sz w:val="20"/>
                <w:szCs w:val="20"/>
              </w:rPr>
              <w:t xml:space="preserve">Airport code → destination (+ LUK filter, auto-scroll, due-soon/overdue)</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10</w:t>
            </w:r>
          </w:p>
        </w:tc>
      </w:tr>
      <w:tr>
        <w:tc>
          <w:tcPr>
            <w:tcW w:type="dxa" w:w="720"/>
            <w:tcMar>
              <w:top w:type="dxa" w:w="70"/>
              <w:left w:type="dxa" w:w="110"/>
              <w:bottom w:type="dxa" w:w="70"/>
              <w:right w:type="dxa" w:w="110"/>
            </w:tcMar>
          </w:tcPr>
          <w:p>
            <w:pPr>
              <w:spacing w:after="0" w:line="260"/>
            </w:pPr>
            <w:r>
              <w:rPr>
                <w:sz w:val="20"/>
                <w:szCs w:val="20"/>
              </w:rPr>
              <w:t xml:space="preserve">11</w:t>
            </w:r>
          </w:p>
        </w:tc>
        <w:tc>
          <w:tcPr>
            <w:tcW w:type="dxa" w:w="7200"/>
            <w:tcMar>
              <w:top w:type="dxa" w:w="70"/>
              <w:left w:type="dxa" w:w="110"/>
              <w:bottom w:type="dxa" w:w="70"/>
              <w:right w:type="dxa" w:w="110"/>
            </w:tcMar>
          </w:tcPr>
          <w:p>
            <w:pPr>
              <w:spacing w:after="0" w:line="260"/>
            </w:pPr>
            <w:r>
              <w:rPr>
                <w:sz w:val="20"/>
                <w:szCs w:val="20"/>
              </w:rPr>
              <w:t xml:space="preserve">Back button</w:t>
            </w:r>
          </w:p>
        </w:tc>
        <w:tc>
          <w:tcPr>
            <w:tcW w:type="dxa" w:w="1440"/>
            <w:tcMar>
              <w:top w:type="dxa" w:w="70"/>
              <w:left w:type="dxa" w:w="110"/>
              <w:bottom w:type="dxa" w:w="70"/>
              <w:right w:type="dxa" w:w="110"/>
            </w:tcMar>
          </w:tcPr>
          <w:p>
            <w:pPr>
              <w:spacing w:after="0" w:line="260"/>
              <w:jc w:val="right"/>
            </w:pPr>
            <w:r>
              <w:rPr>
                <w:sz w:val="20"/>
                <w:szCs w:val="20"/>
              </w:rPr>
              <w:t xml:space="preserve">8</w:t>
            </w:r>
          </w:p>
        </w:tc>
      </w:tr>
      <w:tr>
        <w:tc>
          <w:tcPr>
            <w:tcW w:type="dxa" w:w="720"/>
            <w:shd w:fill="F5F7FA" w:color="auto" w:val="clear"/>
            <w:tcMar>
              <w:top w:type="dxa" w:w="70"/>
              <w:left w:type="dxa" w:w="110"/>
              <w:bottom w:type="dxa" w:w="70"/>
              <w:right w:type="dxa" w:w="110"/>
            </w:tcMar>
          </w:tcPr>
          <w:p>
            <w:pPr>
              <w:spacing w:after="0" w:line="260"/>
            </w:pPr>
            <w:r>
              <w:rPr>
                <w:sz w:val="20"/>
                <w:szCs w:val="20"/>
              </w:rPr>
              <w:t xml:space="preserve">12</w:t>
            </w:r>
          </w:p>
        </w:tc>
        <w:tc>
          <w:tcPr>
            <w:tcW w:type="dxa" w:w="7200"/>
            <w:shd w:fill="F5F7FA" w:color="auto" w:val="clear"/>
            <w:tcMar>
              <w:top w:type="dxa" w:w="70"/>
              <w:left w:type="dxa" w:w="110"/>
              <w:bottom w:type="dxa" w:w="70"/>
              <w:right w:type="dxa" w:w="110"/>
            </w:tcMar>
          </w:tcPr>
          <w:p>
            <w:pPr>
              <w:spacing w:after="0" w:line="260"/>
            </w:pPr>
            <w:r>
              <w:rPr>
                <w:sz w:val="20"/>
                <w:szCs w:val="20"/>
              </w:rPr>
              <w:t xml:space="preserve">Turndown form (attach photo, show yesterday’s FOB)</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8</w:t>
            </w:r>
          </w:p>
        </w:tc>
      </w:tr>
      <w:tr>
        <w:tc>
          <w:tcPr>
            <w:tcW w:type="dxa" w:w="720"/>
            <w:tcMar>
              <w:top w:type="dxa" w:w="70"/>
              <w:left w:type="dxa" w:w="110"/>
              <w:bottom w:type="dxa" w:w="70"/>
              <w:right w:type="dxa" w:w="110"/>
            </w:tcMar>
          </w:tcPr>
          <w:p>
            <w:pPr>
              <w:spacing w:after="0" w:line="260"/>
            </w:pPr>
            <w:r>
              <w:rPr>
                <w:sz w:val="20"/>
                <w:szCs w:val="20"/>
              </w:rPr>
              <w:t xml:space="preserve">13</w:t>
            </w:r>
          </w:p>
        </w:tc>
        <w:tc>
          <w:tcPr>
            <w:tcW w:type="dxa" w:w="7200"/>
            <w:tcMar>
              <w:top w:type="dxa" w:w="70"/>
              <w:left w:type="dxa" w:w="110"/>
              <w:bottom w:type="dxa" w:w="70"/>
              <w:right w:type="dxa" w:w="110"/>
            </w:tcMar>
          </w:tcPr>
          <w:p>
            <w:pPr>
              <w:spacing w:after="0" w:line="260"/>
            </w:pPr>
            <w:r>
              <w:rPr>
                <w:sz w:val="20"/>
                <w:szCs w:val="20"/>
              </w:rPr>
              <w:t xml:space="preserve">Recall or edit a waiver request, with audit trail</w:t>
            </w:r>
          </w:p>
        </w:tc>
        <w:tc>
          <w:tcPr>
            <w:tcW w:type="dxa" w:w="1440"/>
            <w:tcMar>
              <w:top w:type="dxa" w:w="70"/>
              <w:left w:type="dxa" w:w="110"/>
              <w:bottom w:type="dxa" w:w="70"/>
              <w:right w:type="dxa" w:w="110"/>
            </w:tcMar>
          </w:tcPr>
          <w:p>
            <w:pPr>
              <w:spacing w:after="0" w:line="260"/>
              <w:jc w:val="right"/>
            </w:pPr>
            <w:r>
              <w:rPr>
                <w:sz w:val="20"/>
                <w:szCs w:val="20"/>
              </w:rPr>
              <w:t xml:space="preserve">8</w:t>
            </w:r>
          </w:p>
        </w:tc>
      </w:tr>
      <w:tr>
        <w:tc>
          <w:tcPr>
            <w:tcW w:type="dxa" w:w="720"/>
            <w:shd w:fill="F5F7FA" w:color="auto" w:val="clear"/>
            <w:tcMar>
              <w:top w:type="dxa" w:w="70"/>
              <w:left w:type="dxa" w:w="110"/>
              <w:bottom w:type="dxa" w:w="70"/>
              <w:right w:type="dxa" w:w="110"/>
            </w:tcMar>
          </w:tcPr>
          <w:p>
            <w:pPr>
              <w:spacing w:after="0" w:line="260"/>
            </w:pPr>
            <w:r>
              <w:rPr>
                <w:sz w:val="20"/>
                <w:szCs w:val="20"/>
              </w:rPr>
              <w:t xml:space="preserve">14</w:t>
            </w:r>
          </w:p>
        </w:tc>
        <w:tc>
          <w:tcPr>
            <w:tcW w:type="dxa" w:w="7200"/>
            <w:shd w:fill="F5F7FA" w:color="auto" w:val="clear"/>
            <w:tcMar>
              <w:top w:type="dxa" w:w="70"/>
              <w:left w:type="dxa" w:w="110"/>
              <w:bottom w:type="dxa" w:w="70"/>
              <w:right w:type="dxa" w:w="110"/>
            </w:tcMar>
          </w:tcPr>
          <w:p>
            <w:pPr>
              <w:spacing w:after="0" w:line="260"/>
            </w:pPr>
            <w:r>
              <w:rPr>
                <w:sz w:val="20"/>
                <w:szCs w:val="20"/>
              </w:rPr>
              <w:t xml:space="preserve">GRAT — “My GRAT” submissions page</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6</w:t>
            </w:r>
          </w:p>
        </w:tc>
      </w:tr>
      <w:tr>
        <w:tc>
          <w:tcPr>
            <w:tcW w:type="dxa" w:w="720"/>
            <w:tcMar>
              <w:top w:type="dxa" w:w="70"/>
              <w:left w:type="dxa" w:w="110"/>
              <w:bottom w:type="dxa" w:w="70"/>
              <w:right w:type="dxa" w:w="110"/>
            </w:tcMar>
          </w:tcPr>
          <w:p>
            <w:pPr>
              <w:spacing w:after="0" w:line="260"/>
            </w:pPr>
            <w:r>
              <w:rPr>
                <w:sz w:val="20"/>
                <w:szCs w:val="20"/>
              </w:rPr>
              <w:t xml:space="preserve">15</w:t>
            </w:r>
          </w:p>
        </w:tc>
        <w:tc>
          <w:tcPr>
            <w:tcW w:type="dxa" w:w="7200"/>
            <w:tcMar>
              <w:top w:type="dxa" w:w="70"/>
              <w:left w:type="dxa" w:w="110"/>
              <w:bottom w:type="dxa" w:w="70"/>
              <w:right w:type="dxa" w:w="110"/>
            </w:tcMar>
          </w:tcPr>
          <w:p>
            <w:pPr>
              <w:spacing w:after="0" w:line="260"/>
            </w:pPr>
            <w:r>
              <w:rPr>
                <w:sz w:val="20"/>
                <w:szCs w:val="20"/>
              </w:rPr>
              <w:t xml:space="preserve">Passengers on lead dashboard (VP role)</w:t>
            </w:r>
          </w:p>
        </w:tc>
        <w:tc>
          <w:tcPr>
            <w:tcW w:type="dxa" w:w="1440"/>
            <w:tcMar>
              <w:top w:type="dxa" w:w="70"/>
              <w:left w:type="dxa" w:w="110"/>
              <w:bottom w:type="dxa" w:w="70"/>
              <w:right w:type="dxa" w:w="110"/>
            </w:tcMar>
          </w:tcPr>
          <w:p>
            <w:pPr>
              <w:spacing w:after="0" w:line="260"/>
              <w:jc w:val="right"/>
            </w:pPr>
            <w:r>
              <w:rPr>
                <w:sz w:val="20"/>
                <w:szCs w:val="20"/>
              </w:rPr>
              <w:t xml:space="preserve">6</w:t>
            </w:r>
          </w:p>
        </w:tc>
      </w:tr>
      <w:tr>
        <w:tc>
          <w:tcPr>
            <w:tcW w:type="dxa" w:w="720"/>
            <w:shd w:fill="F5F7FA" w:color="auto" w:val="clear"/>
            <w:tcMar>
              <w:top w:type="dxa" w:w="70"/>
              <w:left w:type="dxa" w:w="110"/>
              <w:bottom w:type="dxa" w:w="70"/>
              <w:right w:type="dxa" w:w="110"/>
            </w:tcMar>
          </w:tcPr>
          <w:p>
            <w:pPr>
              <w:spacing w:after="0" w:line="260"/>
            </w:pPr>
            <w:r>
              <w:rPr>
                <w:sz w:val="20"/>
                <w:szCs w:val="20"/>
              </w:rPr>
              <w:t xml:space="preserve">16</w:t>
            </w:r>
          </w:p>
        </w:tc>
        <w:tc>
          <w:tcPr>
            <w:tcW w:type="dxa" w:w="7200"/>
            <w:shd w:fill="F5F7FA" w:color="auto" w:val="clear"/>
            <w:tcMar>
              <w:top w:type="dxa" w:w="70"/>
              <w:left w:type="dxa" w:w="110"/>
              <w:bottom w:type="dxa" w:w="70"/>
              <w:right w:type="dxa" w:w="110"/>
            </w:tcMar>
          </w:tcPr>
          <w:p>
            <w:pPr>
              <w:spacing w:after="0" w:line="260"/>
            </w:pPr>
            <w:r>
              <w:rPr>
                <w:sz w:val="20"/>
                <w:szCs w:val="20"/>
              </w:rPr>
              <w:t xml:space="preserve">Adjust which codes trigger the STOP payback</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2</w:t>
            </w:r>
          </w:p>
        </w:tc>
      </w:tr>
      <w:tr>
        <w:tc>
          <w:tcPr>
            <w:tcW w:type="dxa" w:w="720"/>
            <w:tcMar>
              <w:top w:type="dxa" w:w="70"/>
              <w:left w:type="dxa" w:w="110"/>
              <w:bottom w:type="dxa" w:w="70"/>
              <w:right w:type="dxa" w:w="110"/>
            </w:tcMar>
          </w:tcPr>
          <w:p>
            <w:pPr>
              <w:spacing w:after="0" w:line="260"/>
            </w:pPr>
            <w:r>
              <w:rPr>
                <w:sz w:val="20"/>
                <w:szCs w:val="20"/>
              </w:rPr>
              <w:t xml:space="preserve">17</w:t>
            </w:r>
          </w:p>
        </w:tc>
        <w:tc>
          <w:tcPr>
            <w:tcW w:type="dxa" w:w="7200"/>
            <w:tcMar>
              <w:top w:type="dxa" w:w="70"/>
              <w:left w:type="dxa" w:w="110"/>
              <w:bottom w:type="dxa" w:w="70"/>
              <w:right w:type="dxa" w:w="110"/>
            </w:tcMar>
          </w:tcPr>
          <w:p>
            <w:pPr>
              <w:spacing w:after="0" w:line="260"/>
            </w:pPr>
            <w:r>
              <w:rPr>
                <w:sz w:val="20"/>
                <w:szCs w:val="20"/>
              </w:rPr>
              <w:t xml:space="preserve">Lead Team → Line Managers</w:t>
            </w:r>
          </w:p>
        </w:tc>
        <w:tc>
          <w:tcPr>
            <w:tcW w:type="dxa" w:w="1440"/>
            <w:tcMar>
              <w:top w:type="dxa" w:w="70"/>
              <w:left w:type="dxa" w:w="110"/>
              <w:bottom w:type="dxa" w:w="70"/>
              <w:right w:type="dxa" w:w="110"/>
            </w:tcMar>
          </w:tcPr>
          <w:p>
            <w:pPr>
              <w:spacing w:after="0" w:line="260"/>
              <w:jc w:val="right"/>
            </w:pPr>
            <w:r>
              <w:rPr>
                <w:sz w:val="20"/>
                <w:szCs w:val="20"/>
              </w:rPr>
              <w:t xml:space="preserve">2</w:t>
            </w:r>
          </w:p>
        </w:tc>
      </w:tr>
      <w:tr>
        <w:tc>
          <w:tcPr>
            <w:tcW w:type="dxa" w:w="720"/>
            <w:shd w:fill="F5F7FA" w:color="auto" w:val="clear"/>
            <w:tcMar>
              <w:top w:type="dxa" w:w="70"/>
              <w:left w:type="dxa" w:w="110"/>
              <w:bottom w:type="dxa" w:w="70"/>
              <w:right w:type="dxa" w:w="110"/>
            </w:tcMar>
          </w:tcPr>
          <w:p>
            <w:pPr>
              <w:spacing w:after="0" w:line="260"/>
            </w:pPr>
            <w:r>
              <w:rPr>
                <w:sz w:val="20"/>
                <w:szCs w:val="20"/>
              </w:rPr>
              <w:t xml:space="preserve">18</w:t>
            </w:r>
          </w:p>
        </w:tc>
        <w:tc>
          <w:tcPr>
            <w:tcW w:type="dxa" w:w="7200"/>
            <w:shd w:fill="F5F7FA" w:color="auto" w:val="clear"/>
            <w:tcMar>
              <w:top w:type="dxa" w:w="70"/>
              <w:left w:type="dxa" w:w="110"/>
              <w:bottom w:type="dxa" w:w="70"/>
              <w:right w:type="dxa" w:w="110"/>
            </w:tcMar>
          </w:tcPr>
          <w:p>
            <w:pPr>
              <w:spacing w:after="0" w:line="260"/>
            </w:pPr>
            <w:r>
              <w:rPr>
                <w:sz w:val="20"/>
                <w:szCs w:val="20"/>
              </w:rPr>
              <w:t xml:space="preserve">Record Aircraft Fueling — tail number dropdown + “other”</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2</w:t>
            </w:r>
          </w:p>
        </w:tc>
      </w:tr>
      <w:tr>
        <w:tc>
          <w:tcPr>
            <w:tcW w:type="dxa" w:w="720"/>
            <w:tcMar>
              <w:top w:type="dxa" w:w="70"/>
              <w:left w:type="dxa" w:w="110"/>
              <w:bottom w:type="dxa" w:w="70"/>
              <w:right w:type="dxa" w:w="110"/>
            </w:tcMar>
          </w:tcPr>
          <w:p>
            <w:pPr>
              <w:spacing w:after="0" w:line="260"/>
            </w:pPr>
            <w:r>
              <w:rPr>
                <w:sz w:val="20"/>
                <w:szCs w:val="20"/>
              </w:rPr>
              <w:t xml:space="preserve">19</w:t>
            </w:r>
          </w:p>
        </w:tc>
        <w:tc>
          <w:tcPr>
            <w:tcW w:type="dxa" w:w="7200"/>
            <w:tcMar>
              <w:top w:type="dxa" w:w="70"/>
              <w:left w:type="dxa" w:w="110"/>
              <w:bottom w:type="dxa" w:w="70"/>
              <w:right w:type="dxa" w:w="110"/>
            </w:tcMar>
          </w:tcPr>
          <w:p>
            <w:pPr>
              <w:spacing w:after="0" w:line="260"/>
            </w:pPr>
            <w:r>
              <w:rPr>
                <w:sz w:val="20"/>
                <w:szCs w:val="20"/>
              </w:rPr>
              <w:t xml:space="preserve">Submit new waiver — airport should not be required</w:t>
            </w:r>
          </w:p>
        </w:tc>
        <w:tc>
          <w:tcPr>
            <w:tcW w:type="dxa" w:w="1440"/>
            <w:tcMar>
              <w:top w:type="dxa" w:w="70"/>
              <w:left w:type="dxa" w:w="110"/>
              <w:bottom w:type="dxa" w:w="70"/>
              <w:right w:type="dxa" w:w="110"/>
            </w:tcMar>
          </w:tcPr>
          <w:p>
            <w:pPr>
              <w:spacing w:after="0" w:line="260"/>
              <w:jc w:val="right"/>
            </w:pPr>
            <w:r>
              <w:rPr>
                <w:sz w:val="20"/>
                <w:szCs w:val="20"/>
              </w:rPr>
              <w:t xml:space="preserve">1</w:t>
            </w:r>
          </w:p>
        </w:tc>
      </w:tr>
      <w:tr>
        <w:tc>
          <w:tcPr>
            <w:tcW w:type="dxa" w:w="720"/>
            <w:shd w:fill="E8EDF5" w:color="auto" w:val="clear"/>
            <w:tcMar>
              <w:top w:type="dxa" w:w="70"/>
              <w:left w:type="dxa" w:w="110"/>
              <w:bottom w:type="dxa" w:w="70"/>
              <w:right w:type="dxa" w:w="110"/>
            </w:tcMar>
          </w:tcPr>
          <w:p>
            <w:pPr>
              <w:spacing w:after="0" w:line="260"/>
            </w:pPr>
            <w:r>
              <w:rPr>
                <w:sz w:val="20"/>
                <w:szCs w:val="20"/>
              </w:rPr>
              <w:t xml:space="preserve"/>
            </w:r>
          </w:p>
        </w:tc>
        <w:tc>
          <w:tcPr>
            <w:tcW w:type="dxa" w:w="7200"/>
            <w:shd w:fill="E8EDF5" w:color="auto" w:val="clear"/>
            <w:tcMar>
              <w:top w:type="dxa" w:w="70"/>
              <w:left w:type="dxa" w:w="110"/>
              <w:bottom w:type="dxa" w:w="70"/>
              <w:right w:type="dxa" w:w="110"/>
            </w:tcMar>
          </w:tcPr>
          <w:p>
            <w:pPr>
              <w:spacing w:after="0" w:line="260"/>
            </w:pPr>
            <w:r>
              <w:rPr>
                <w:b/>
                <w:bCs/>
                <w:sz w:val="20"/>
                <w:szCs w:val="20"/>
              </w:rPr>
              <w:t xml:space="preserve">Total</w:t>
            </w:r>
          </w:p>
        </w:tc>
        <w:tc>
          <w:tcPr>
            <w:tcW w:type="dxa" w:w="1440"/>
            <w:shd w:fill="E8EDF5" w:color="auto" w:val="clear"/>
            <w:tcMar>
              <w:top w:type="dxa" w:w="70"/>
              <w:left w:type="dxa" w:w="110"/>
              <w:bottom w:type="dxa" w:w="70"/>
              <w:right w:type="dxa" w:w="110"/>
            </w:tcMar>
          </w:tcPr>
          <w:p>
            <w:pPr>
              <w:spacing w:after="0" w:line="260"/>
              <w:jc w:val="right"/>
            </w:pPr>
            <w:r>
              <w:rPr>
                <w:b/>
                <w:bCs/>
                <w:sz w:val="20"/>
                <w:szCs w:val="20"/>
              </w:rPr>
              <w:t xml:space="preserve">513</w:t>
            </w:r>
          </w:p>
        </w:tc>
      </w:tr>
    </w:tbl>
    <w:p>
      <w:pPr>
        <w:spacing w:after="160"/>
      </w:pPr>
      <w:r>
        <w:rPr>
          <w:sz w:val="2"/>
          <w:szCs w:val="2"/>
        </w:rPr>
        <w:t xml:space="preserve"/>
      </w:r>
    </w:p>
    <w:p>
      <w:pPr>
        <w:spacing w:after="160" w:line="276"/>
      </w:pPr>
      <w:r>
        <w:rPr>
          <w:b/>
          <w:bCs/>
          <w:sz w:val="21"/>
          <w:szCs w:val="21"/>
        </w:rPr>
        <w:t xml:space="preserve">513 hrs × $85/hr = $43,605</w:t>
      </w:r>
    </w:p>
    <w:p>
      <w:pPr>
        <w:pStyle w:val="Heading2"/>
        <w:spacing w:after="120" w:before="260"/>
      </w:pPr>
      <w:r>
        <w:rPr>
          <w:b/>
          <w:bCs/>
          <w:color w:val="1F3864"/>
          <w:sz w:val="23"/>
          <w:szCs w:val="23"/>
        </w:rPr>
        <w:t xml:space="preserve">Note on item 3 — the pilot handoff slice</w:t>
      </w:r>
    </w:p>
    <w:p>
      <w:pPr>
        <w:spacing w:after="140" w:line="276"/>
      </w:pPr>
      <w:r>
        <w:rPr>
          <w:sz w:val="21"/>
          <w:szCs w:val="21"/>
        </w:rPr>
        <w:t xml:space="preserve">This is the one addition to the original line items, and we think it’s structurally required rather than optional.</w:t>
      </w:r>
    </w:p>
    <w:p>
      <w:pPr>
        <w:spacing w:after="140" w:line="276"/>
      </w:pPr>
      <w:r>
        <w:rPr>
          <w:sz w:val="21"/>
          <w:szCs w:val="21"/>
        </w:rPr>
        <w:t xml:space="preserve">The Tech Log’s aircraft handoff is a two-sided workflow: maintenance releases the aircraft, and the pilot reviews open deferrals and accepts responsibility. In the code we’re providing, the pilot-facing half of that loop lives in the pilot workspace — the handover card, the deferral-acknowledgment step, and the accept-dispatch gate. The Tech Log module and the pilot workspace also share a persistence layer.</w:t>
      </w:r>
    </w:p>
    <w:p>
      <w:pPr>
        <w:spacing w:after="140" w:line="276"/>
      </w:pPr>
      <w:r>
        <w:rPr>
          <w:sz w:val="21"/>
          <w:szCs w:val="21"/>
        </w:rPr>
        <w:t xml:space="preserve">If Pilot Preflight Workflow is deferred in full, the Tech Log ships with maintenance able to release an aircraft and no pilot-side path to accept it. We’ve carved roughly 40 hours out of the quoted 145 to close that loop:</w:t>
      </w:r>
    </w:p>
    <w:p>
      <w:pPr>
        <w:pStyle w:val="ListParagraph"/>
        <w:numPr>
          <w:ilvl w:val="0"/>
          <w:numId w:val="2"/>
        </w:numPr>
        <w:spacing w:after="80" w:line="276"/>
      </w:pPr>
      <w:r>
        <w:rPr>
          <w:sz w:val="21"/>
          <w:szCs w:val="21"/>
        </w:rPr>
        <w:t xml:space="preserve">Aircraft handover card in the pilot view</w:t>
      </w:r>
    </w:p>
    <w:p>
      <w:pPr>
        <w:pStyle w:val="ListParagraph"/>
        <w:numPr>
          <w:ilvl w:val="0"/>
          <w:numId w:val="2"/>
        </w:numPr>
        <w:spacing w:after="80" w:line="276"/>
      </w:pPr>
      <w:r>
        <w:rPr>
          <w:sz w:val="21"/>
          <w:szCs w:val="21"/>
        </w:rPr>
        <w:t xml:space="preserve">Pilot acknowledgment of open deferrals prior to acceptance</w:t>
      </w:r>
    </w:p>
    <w:p>
      <w:pPr>
        <w:pStyle w:val="ListParagraph"/>
        <w:numPr>
          <w:ilvl w:val="0"/>
          <w:numId w:val="2"/>
        </w:numPr>
        <w:spacing w:after="80" w:line="276"/>
      </w:pPr>
      <w:r>
        <w:rPr>
          <w:sz w:val="21"/>
          <w:szCs w:val="21"/>
        </w:rPr>
        <w:t xml:space="preserve">Accept-dispatch action and its gating conditions</w:t>
      </w:r>
    </w:p>
    <w:p>
      <w:pPr>
        <w:pStyle w:val="ListParagraph"/>
        <w:numPr>
          <w:ilvl w:val="0"/>
          <w:numId w:val="2"/>
        </w:numPr>
        <w:spacing w:after="80" w:line="276"/>
      </w:pPr>
      <w:r>
        <w:rPr>
          <w:sz w:val="21"/>
          <w:szCs w:val="21"/>
        </w:rPr>
        <w:t xml:space="preserve">Pilot-side squawk / nuisance-item entry</w:t>
      </w:r>
    </w:p>
    <w:p>
      <w:pPr>
        <w:spacing w:after="60"/>
      </w:pPr>
      <w:r>
        <w:rPr>
          <w:sz w:val="2"/>
          <w:szCs w:val="2"/>
        </w:rPr>
        <w:t xml:space="preserve"/>
      </w:r>
    </w:p>
    <w:p>
      <w:pPr>
        <w:spacing w:after="140" w:line="276"/>
      </w:pPr>
      <w:r>
        <w:rPr>
          <w:sz w:val="21"/>
          <w:szCs w:val="21"/>
        </w:rPr>
        <w:t xml:space="preserve">Please confirm 40 hrs is the right size for that carve-out, or propose the number that is. The remaining ~105 hrs of Pilot Preflight (full pilot dashboard, personalized role views, configurable checklist requirements, deeper scheduling integration) is deferred.</w:t>
      </w:r>
    </w:p>
    <w:p>
      <w:pPr>
        <w:pStyle w:val="Heading1"/>
        <w:spacing w:after="160" w:before="340"/>
      </w:pPr>
      <w:r>
        <w:rPr>
          <w:b/>
          <w:bCs/>
          <w:color w:val="1F3864"/>
          <w:sz w:val="28"/>
          <w:szCs w:val="28"/>
        </w:rPr>
        <w:t xml:space="preserve">2.  Tech Log — what we’re providing, and what needs building</w:t>
      </w:r>
    </w:p>
    <w:p>
      <w:pPr>
        <w:spacing w:after="140" w:line="276"/>
      </w:pPr>
      <w:r>
        <w:rPr>
          <w:sz w:val="21"/>
          <w:szCs w:val="21"/>
        </w:rPr>
        <w:t xml:space="preserve">Tech Log is the one major module we’re keeping and the largest single line. We want to be precise about the handover, because the estimate should price the right work.</w:t>
      </w:r>
    </w:p>
    <w:p>
      <w:pPr>
        <w:pStyle w:val="Heading2"/>
        <w:spacing w:after="120" w:before="260"/>
      </w:pPr>
      <w:r>
        <w:rPr>
          <w:b/>
          <w:bCs/>
          <w:color w:val="1F3864"/>
          <w:sz w:val="23"/>
          <w:szCs w:val="23"/>
        </w:rPr>
        <w:t xml:space="preserve">2.1  What we’re handing over — working and tested</w:t>
      </w:r>
    </w:p>
    <w:tbl>
      <w:tblPr>
        <w:tblW w:type="dxa" w:w="9360"/>
        <w:tblBorders>
          <w:top w:val="single" w:color="BFBFBF" w:sz="4"/>
          <w:left w:val="none" w:color="FFFFFF" w:sz="0"/>
          <w:bottom w:val="single" w:color="BFBFBF" w:sz="4"/>
          <w:right w:val="none" w:color="FFFFFF" w:sz="0"/>
          <w:insideH w:val="single" w:color="DDDDDD" w:sz="2"/>
          <w:insideV w:val="none" w:color="FFFFFF" w:sz="0"/>
        </w:tblBorders>
      </w:tblPr>
      <w:tblGrid>
        <w:gridCol w:w="5760"/>
        <w:gridCol w:w="3600"/>
      </w:tblGrid>
      <w:tr>
        <w:trPr>
          <w:tblHeader/>
        </w:trPr>
        <w:tc>
          <w:tcPr>
            <w:tcW w:type="dxa" w:w="5760"/>
            <w:shd w:fill="E8EDF5" w:color="auto" w:val="clear"/>
            <w:tcMar>
              <w:top w:type="dxa" w:w="70"/>
              <w:left w:type="dxa" w:w="110"/>
              <w:bottom w:type="dxa" w:w="70"/>
              <w:right w:type="dxa" w:w="110"/>
            </w:tcMar>
          </w:tcPr>
          <w:p>
            <w:pPr>
              <w:spacing w:after="0" w:line="260"/>
            </w:pPr>
            <w:r>
              <w:rPr>
                <w:b/>
                <w:bCs/>
                <w:sz w:val="20"/>
                <w:szCs w:val="20"/>
              </w:rPr>
              <w:t xml:space="preserve">Component</w:t>
            </w:r>
          </w:p>
        </w:tc>
        <w:tc>
          <w:tcPr>
            <w:tcW w:type="dxa" w:w="3600"/>
            <w:shd w:fill="E8EDF5" w:color="auto" w:val="clear"/>
            <w:tcMar>
              <w:top w:type="dxa" w:w="70"/>
              <w:left w:type="dxa" w:w="110"/>
              <w:bottom w:type="dxa" w:w="70"/>
              <w:right w:type="dxa" w:w="110"/>
            </w:tcMar>
          </w:tcPr>
          <w:p>
            <w:pPr>
              <w:spacing w:after="0" w:line="260"/>
            </w:pPr>
            <w:r>
              <w:rPr>
                <w:b/>
                <w:bCs/>
                <w:sz w:val="20"/>
                <w:szCs w:val="20"/>
              </w:rPr>
              <w:t xml:space="preserve">Scale</w:t>
            </w:r>
          </w:p>
        </w:tc>
      </w:tr>
      <w:tr>
        <w:tc>
          <w:tcPr>
            <w:tcW w:type="dxa" w:w="5760"/>
            <w:tcMar>
              <w:top w:type="dxa" w:w="70"/>
              <w:left w:type="dxa" w:w="110"/>
              <w:bottom w:type="dxa" w:w="70"/>
              <w:right w:type="dxa" w:w="110"/>
            </w:tcMar>
          </w:tcPr>
          <w:p>
            <w:pPr>
              <w:spacing w:after="0" w:line="260"/>
            </w:pPr>
            <w:r>
              <w:rPr>
                <w:sz w:val="20"/>
                <w:szCs w:val="20"/>
              </w:rPr>
              <w:t xml:space="preserve">Front end — pages and panels</w:t>
            </w:r>
          </w:p>
        </w:tc>
        <w:tc>
          <w:tcPr>
            <w:tcW w:type="dxa" w:w="3600"/>
            <w:tcMar>
              <w:top w:type="dxa" w:w="70"/>
              <w:left w:type="dxa" w:w="110"/>
              <w:bottom w:type="dxa" w:w="70"/>
              <w:right w:type="dxa" w:w="110"/>
            </w:tcMar>
          </w:tcPr>
          <w:p>
            <w:pPr>
              <w:spacing w:after="0" w:line="260"/>
            </w:pPr>
            <w:r>
              <w:rPr>
                <w:sz w:val="20"/>
                <w:szCs w:val="20"/>
              </w:rPr>
              <w:t xml:space="preserve">27 pages, ~6,100 lines</w:t>
            </w:r>
          </w:p>
        </w:tc>
      </w:tr>
      <w:tr>
        <w:tc>
          <w:tcPr>
            <w:tcW w:type="dxa" w:w="5760"/>
            <w:shd w:fill="F5F7FA" w:color="auto" w:val="clear"/>
            <w:tcMar>
              <w:top w:type="dxa" w:w="70"/>
              <w:left w:type="dxa" w:w="110"/>
              <w:bottom w:type="dxa" w:w="70"/>
              <w:right w:type="dxa" w:w="110"/>
            </w:tcMar>
          </w:tcPr>
          <w:p>
            <w:pPr>
              <w:spacing w:after="0" w:line="260"/>
            </w:pPr>
            <w:r>
              <w:rPr>
                <w:sz w:val="20"/>
                <w:szCs w:val="20"/>
              </w:rPr>
              <w:t xml:space="preserve">Rule engines — pure functions, no React or framework coupling</w:t>
            </w:r>
          </w:p>
        </w:tc>
        <w:tc>
          <w:tcPr>
            <w:tcW w:type="dxa" w:w="3600"/>
            <w:shd w:fill="F5F7FA" w:color="auto" w:val="clear"/>
            <w:tcMar>
              <w:top w:type="dxa" w:w="70"/>
              <w:left w:type="dxa" w:w="110"/>
              <w:bottom w:type="dxa" w:w="70"/>
              <w:right w:type="dxa" w:w="110"/>
            </w:tcMar>
          </w:tcPr>
          <w:p>
            <w:pPr>
              <w:spacing w:after="0" w:line="260"/>
            </w:pPr>
            <w:r>
              <w:rPr>
                <w:sz w:val="20"/>
                <w:szCs w:val="20"/>
              </w:rPr>
              <w:t xml:space="preserve">36 modules, ~2,960 lines</w:t>
            </w:r>
          </w:p>
        </w:tc>
      </w:tr>
      <w:tr>
        <w:tc>
          <w:tcPr>
            <w:tcW w:type="dxa" w:w="5760"/>
            <w:tcMar>
              <w:top w:type="dxa" w:w="70"/>
              <w:left w:type="dxa" w:w="110"/>
              <w:bottom w:type="dxa" w:w="70"/>
              <w:right w:type="dxa" w:w="110"/>
            </w:tcMar>
          </w:tcPr>
          <w:p>
            <w:pPr>
              <w:spacing w:after="0" w:line="260"/>
            </w:pPr>
            <w:r>
              <w:rPr>
                <w:sz w:val="20"/>
                <w:szCs w:val="20"/>
              </w:rPr>
              <w:t xml:space="preserve">Test suite</w:t>
            </w:r>
          </w:p>
        </w:tc>
        <w:tc>
          <w:tcPr>
            <w:tcW w:type="dxa" w:w="3600"/>
            <w:tcMar>
              <w:top w:type="dxa" w:w="70"/>
              <w:left w:type="dxa" w:w="110"/>
              <w:bottom w:type="dxa" w:w="70"/>
              <w:right w:type="dxa" w:w="110"/>
            </w:tcMar>
          </w:tcPr>
          <w:p>
            <w:pPr>
              <w:spacing w:after="0" w:line="260"/>
            </w:pPr>
            <w:r>
              <w:rPr>
                <w:sz w:val="20"/>
                <w:szCs w:val="20"/>
              </w:rPr>
              <w:t xml:space="preserve">503 cases, ~4,700 lines</w:t>
            </w:r>
          </w:p>
        </w:tc>
      </w:tr>
      <w:tr>
        <w:tc>
          <w:tcPr>
            <w:tcW w:type="dxa" w:w="5760"/>
            <w:shd w:fill="F5F7FA" w:color="auto" w:val="clear"/>
            <w:tcMar>
              <w:top w:type="dxa" w:w="70"/>
              <w:left w:type="dxa" w:w="110"/>
              <w:bottom w:type="dxa" w:w="70"/>
              <w:right w:type="dxa" w:w="110"/>
            </w:tcMar>
          </w:tcPr>
          <w:p>
            <w:pPr>
              <w:spacing w:after="0" w:line="260"/>
            </w:pPr>
            <w:r>
              <w:rPr>
                <w:sz w:val="20"/>
                <w:szCs w:val="20"/>
              </w:rPr>
              <w:t xml:space="preserve">CAMP integration layer — session lifecycle, discrepancy taxonomy, push mapping, reconciliation</w:t>
            </w:r>
          </w:p>
        </w:tc>
        <w:tc>
          <w:tcPr>
            <w:tcW w:type="dxa" w:w="3600"/>
            <w:shd w:fill="F5F7FA" w:color="auto" w:val="clear"/>
            <w:tcMar>
              <w:top w:type="dxa" w:w="70"/>
              <w:left w:type="dxa" w:w="110"/>
              <w:bottom w:type="dxa" w:w="70"/>
              <w:right w:type="dxa" w:w="110"/>
            </w:tcMar>
          </w:tcPr>
          <w:p>
            <w:pPr>
              <w:spacing w:after="0" w:line="260"/>
            </w:pPr>
            <w:r>
              <w:rPr>
                <w:sz w:val="20"/>
                <w:szCs w:val="20"/>
              </w:rPr>
              <w:t xml:space="preserve">6 modules, all with tests</w:t>
            </w:r>
          </w:p>
        </w:tc>
      </w:tr>
      <w:tr>
        <w:tc>
          <w:tcPr>
            <w:tcW w:type="dxa" w:w="5760"/>
            <w:tcMar>
              <w:top w:type="dxa" w:w="70"/>
              <w:left w:type="dxa" w:w="110"/>
              <w:bottom w:type="dxa" w:w="70"/>
              <w:right w:type="dxa" w:w="110"/>
            </w:tcMar>
          </w:tcPr>
          <w:p>
            <w:pPr>
              <w:spacing w:after="0" w:line="260"/>
            </w:pPr>
            <w:r>
              <w:rPr>
                <w:sz w:val="20"/>
                <w:szCs w:val="20"/>
              </w:rPr>
              <w:t xml:space="preserve">myAirOps client contract</w:t>
            </w:r>
          </w:p>
        </w:tc>
        <w:tc>
          <w:tcPr>
            <w:tcW w:type="dxa" w:w="3600"/>
            <w:tcMar>
              <w:top w:type="dxa" w:w="70"/>
              <w:left w:type="dxa" w:w="110"/>
              <w:bottom w:type="dxa" w:w="70"/>
              <w:right w:type="dxa" w:w="110"/>
            </w:tcMar>
          </w:tcPr>
          <w:p>
            <w:pPr>
              <w:spacing w:after="0" w:line="260"/>
            </w:pPr>
            <w:r>
              <w:rPr>
                <w:sz w:val="20"/>
                <w:szCs w:val="20"/>
              </w:rPr>
              <w:t xml:space="preserve">with tests</w:t>
            </w:r>
          </w:p>
        </w:tc>
      </w:tr>
    </w:tbl>
    <w:p>
      <w:pPr>
        <w:spacing w:after="160"/>
      </w:pPr>
      <w:r>
        <w:rPr>
          <w:sz w:val="2"/>
          <w:szCs w:val="2"/>
        </w:rPr>
        <w:t xml:space="preserve"/>
      </w:r>
    </w:p>
    <w:p>
      <w:pPr>
        <w:spacing w:after="140" w:line="276"/>
      </w:pPr>
      <w:r>
        <w:rPr>
          <w:sz w:val="21"/>
          <w:szCs w:val="21"/>
        </w:rPr>
        <w:t xml:space="preserve">The rule engines are the substantive part. They encode and test the regulatory logic: PL-25 clock math (DST-aware, zone-anchored), deferral expiry and extension, RII separation, superseding records, custody and handover, dispatch gating, briefing disclosure, and approvals. Of the 503 test cases, roughly 81 cover the compliance rules directly.</w:t>
      </w:r>
    </w:p>
    <w:p>
      <w:pPr>
        <w:spacing w:after="140" w:line="276"/>
      </w:pPr>
      <w:r>
        <w:rPr>
          <w:sz w:val="21"/>
          <w:szCs w:val="21"/>
        </w:rPr>
        <w:t xml:space="preserve">These modules are plain TypeScript with explicit inputs and outputs — no React, no context, no mocking in the tests. They should port with minimal change and are straightforward to re-verify.</w:t>
      </w:r>
    </w:p>
    <w:p>
      <w:pPr>
        <w:pStyle w:val="Heading2"/>
        <w:spacing w:after="120" w:before="260"/>
      </w:pPr>
      <w:r>
        <w:rPr>
          <w:b/>
          <w:bCs/>
          <w:color w:val="1F3864"/>
          <w:sz w:val="23"/>
          <w:szCs w:val="23"/>
        </w:rPr>
        <w:t xml:space="preserve">2.2  What is deliberately mock — and must be replaced</w:t>
      </w:r>
    </w:p>
    <w:p>
      <w:pPr>
        <w:spacing w:after="140" w:line="276"/>
      </w:pPr>
      <w:r>
        <w:rPr>
          <w:sz w:val="21"/>
          <w:szCs w:val="21"/>
        </w:rPr>
        <w:t xml:space="preserve">The handover is a design and behavior reference. It runs on mock data and placeholder infrastructure. The following are not production-ready and are the substance of what Phase 2 needs to build:</w:t>
      </w:r>
    </w:p>
    <w:tbl>
      <w:tblPr>
        <w:tblW w:type="dxa" w:w="9360"/>
        <w:tblBorders>
          <w:top w:val="single" w:color="BFBFBF" w:sz="4"/>
          <w:left w:val="none" w:color="FFFFFF" w:sz="0"/>
          <w:bottom w:val="single" w:color="BFBFBF" w:sz="4"/>
          <w:right w:val="none" w:color="FFFFFF" w:sz="0"/>
          <w:insideH w:val="single" w:color="DDDDDD" w:sz="2"/>
          <w:insideV w:val="none" w:color="FFFFFF" w:sz="0"/>
        </w:tblBorders>
      </w:tblPr>
      <w:tblGrid>
        <w:gridCol w:w="500"/>
        <w:gridCol w:w="2500"/>
        <w:gridCol w:w="6360"/>
      </w:tblGrid>
      <w:tr>
        <w:trPr>
          <w:tblHeader/>
        </w:trPr>
        <w:tc>
          <w:tcPr>
            <w:tcW w:type="dxa" w:w="500"/>
            <w:shd w:fill="E8EDF5" w:color="auto" w:val="clear"/>
            <w:tcMar>
              <w:top w:type="dxa" w:w="70"/>
              <w:left w:type="dxa" w:w="110"/>
              <w:bottom w:type="dxa" w:w="70"/>
              <w:right w:type="dxa" w:w="110"/>
            </w:tcMar>
          </w:tcPr>
          <w:p>
            <w:pPr>
              <w:spacing w:after="0" w:line="260"/>
            </w:pPr>
            <w:r>
              <w:rPr>
                <w:b/>
                <w:bCs/>
                <w:sz w:val="20"/>
                <w:szCs w:val="20"/>
              </w:rPr>
              <w:t xml:space="preserve">#</w:t>
            </w:r>
          </w:p>
        </w:tc>
        <w:tc>
          <w:tcPr>
            <w:tcW w:type="dxa" w:w="2500"/>
            <w:shd w:fill="E8EDF5" w:color="auto" w:val="clear"/>
            <w:tcMar>
              <w:top w:type="dxa" w:w="70"/>
              <w:left w:type="dxa" w:w="110"/>
              <w:bottom w:type="dxa" w:w="70"/>
              <w:right w:type="dxa" w:w="110"/>
            </w:tcMar>
          </w:tcPr>
          <w:p>
            <w:pPr>
              <w:spacing w:after="0" w:line="260"/>
            </w:pPr>
            <w:r>
              <w:rPr>
                <w:b/>
                <w:bCs/>
                <w:sz w:val="20"/>
                <w:szCs w:val="20"/>
              </w:rPr>
              <w:t xml:space="preserve">Component</w:t>
            </w:r>
          </w:p>
        </w:tc>
        <w:tc>
          <w:tcPr>
            <w:tcW w:type="dxa" w:w="6360"/>
            <w:shd w:fill="E8EDF5" w:color="auto" w:val="clear"/>
            <w:tcMar>
              <w:top w:type="dxa" w:w="70"/>
              <w:left w:type="dxa" w:w="110"/>
              <w:bottom w:type="dxa" w:w="70"/>
              <w:right w:type="dxa" w:w="110"/>
            </w:tcMar>
          </w:tcPr>
          <w:p>
            <w:pPr>
              <w:spacing w:after="0" w:line="260"/>
            </w:pPr>
            <w:r>
              <w:rPr>
                <w:b/>
                <w:bCs/>
                <w:sz w:val="20"/>
                <w:szCs w:val="20"/>
              </w:rPr>
              <w:t xml:space="preserve">Current state in the code we’re providing</w:t>
            </w:r>
          </w:p>
        </w:tc>
      </w:tr>
      <w:tr>
        <w:tc>
          <w:tcPr>
            <w:tcW w:type="dxa" w:w="500"/>
            <w:tcMar>
              <w:top w:type="dxa" w:w="70"/>
              <w:left w:type="dxa" w:w="110"/>
              <w:bottom w:type="dxa" w:w="70"/>
              <w:right w:type="dxa" w:w="110"/>
            </w:tcMar>
          </w:tcPr>
          <w:p>
            <w:pPr>
              <w:spacing w:after="0" w:line="260"/>
            </w:pPr>
            <w:r>
              <w:rPr>
                <w:sz w:val="20"/>
                <w:szCs w:val="20"/>
              </w:rPr>
              <w:t xml:space="preserve">1</w:t>
            </w:r>
          </w:p>
        </w:tc>
        <w:tc>
          <w:tcPr>
            <w:tcW w:type="dxa" w:w="2500"/>
            <w:tcMar>
              <w:top w:type="dxa" w:w="70"/>
              <w:left w:type="dxa" w:w="110"/>
              <w:bottom w:type="dxa" w:w="70"/>
              <w:right w:type="dxa" w:w="110"/>
            </w:tcMar>
          </w:tcPr>
          <w:p>
            <w:pPr>
              <w:spacing w:after="0" w:line="260"/>
            </w:pPr>
            <w:r>
              <w:rPr>
                <w:b/>
                <w:bCs/>
                <w:sz w:val="20"/>
                <w:szCs w:val="20"/>
              </w:rPr>
              <w:t xml:space="preserve">Signature hashing</w:t>
            </w:r>
          </w:p>
        </w:tc>
        <w:tc>
          <w:tcPr>
            <w:tcW w:type="dxa" w:w="6360"/>
            <w:tcMar>
              <w:top w:type="dxa" w:w="70"/>
              <w:left w:type="dxa" w:w="110"/>
              <w:bottom w:type="dxa" w:w="70"/>
              <w:right w:type="dxa" w:w="110"/>
            </w:tcMar>
          </w:tcPr>
          <w:p>
            <w:pPr>
              <w:spacing w:after="0" w:line="260"/>
            </w:pPr>
            <w:r>
              <w:rPr>
                <w:sz w:val="20"/>
                <w:szCs w:val="20"/>
              </w:rPr>
              <w:t xml:space="preserve">engine/signing.ts — a non-cryptographic FNV-style digest, commented in the source as “display-only — NOT real hashing”</w:t>
            </w:r>
          </w:p>
        </w:tc>
      </w:tr>
      <w:tr>
        <w:tc>
          <w:tcPr>
            <w:tcW w:type="dxa" w:w="500"/>
            <w:shd w:fill="F5F7FA" w:color="auto" w:val="clear"/>
            <w:tcMar>
              <w:top w:type="dxa" w:w="70"/>
              <w:left w:type="dxa" w:w="110"/>
              <w:bottom w:type="dxa" w:w="70"/>
              <w:right w:type="dxa" w:w="110"/>
            </w:tcMar>
          </w:tcPr>
          <w:p>
            <w:pPr>
              <w:spacing w:after="0" w:line="260"/>
            </w:pPr>
            <w:r>
              <w:rPr>
                <w:sz w:val="20"/>
                <w:szCs w:val="20"/>
              </w:rPr>
              <w:t xml:space="preserve">2</w:t>
            </w:r>
          </w:p>
        </w:tc>
        <w:tc>
          <w:tcPr>
            <w:tcW w:type="dxa" w:w="2500"/>
            <w:shd w:fill="F5F7FA" w:color="auto" w:val="clear"/>
            <w:tcMar>
              <w:top w:type="dxa" w:w="70"/>
              <w:left w:type="dxa" w:w="110"/>
              <w:bottom w:type="dxa" w:w="70"/>
              <w:right w:type="dxa" w:w="110"/>
            </w:tcMar>
          </w:tcPr>
          <w:p>
            <w:pPr>
              <w:spacing w:after="0" w:line="260"/>
            </w:pPr>
            <w:r>
              <w:rPr>
                <w:b/>
                <w:bCs/>
                <w:sz w:val="20"/>
                <w:szCs w:val="20"/>
              </w:rPr>
              <w:t xml:space="preserve">Attachment SHA-256</w:t>
            </w:r>
          </w:p>
        </w:tc>
        <w:tc>
          <w:tcPr>
            <w:tcW w:type="dxa" w:w="6360"/>
            <w:shd w:fill="F5F7FA" w:color="auto" w:val="clear"/>
            <w:tcMar>
              <w:top w:type="dxa" w:w="70"/>
              <w:left w:type="dxa" w:w="110"/>
              <w:bottom w:type="dxa" w:w="70"/>
              <w:right w:type="dxa" w:w="110"/>
            </w:tcMar>
          </w:tcPr>
          <w:p>
            <w:pPr>
              <w:spacing w:after="0" w:line="260"/>
            </w:pPr>
            <w:r>
              <w:rPr>
                <w:sz w:val="20"/>
                <w:szCs w:val="20"/>
              </w:rPr>
              <w:t xml:space="preserve">engine/signing.ts — mockSha256(), commented as “NOT real crypto”; derives stable hex from a description string</w:t>
            </w:r>
          </w:p>
        </w:tc>
      </w:tr>
      <w:tr>
        <w:tc>
          <w:tcPr>
            <w:tcW w:type="dxa" w:w="500"/>
            <w:tcMar>
              <w:top w:type="dxa" w:w="70"/>
              <w:left w:type="dxa" w:w="110"/>
              <w:bottom w:type="dxa" w:w="70"/>
              <w:right w:type="dxa" w:w="110"/>
            </w:tcMar>
          </w:tcPr>
          <w:p>
            <w:pPr>
              <w:spacing w:after="0" w:line="260"/>
            </w:pPr>
            <w:r>
              <w:rPr>
                <w:sz w:val="20"/>
                <w:szCs w:val="20"/>
              </w:rPr>
              <w:t xml:space="preserve">3</w:t>
            </w:r>
          </w:p>
        </w:tc>
        <w:tc>
          <w:tcPr>
            <w:tcW w:type="dxa" w:w="2500"/>
            <w:tcMar>
              <w:top w:type="dxa" w:w="70"/>
              <w:left w:type="dxa" w:w="110"/>
              <w:bottom w:type="dxa" w:w="70"/>
              <w:right w:type="dxa" w:w="110"/>
            </w:tcMar>
          </w:tcPr>
          <w:p>
            <w:pPr>
              <w:spacing w:after="0" w:line="260"/>
            </w:pPr>
            <w:r>
              <w:rPr>
                <w:b/>
                <w:bCs/>
                <w:sz w:val="20"/>
                <w:szCs w:val="20"/>
              </w:rPr>
              <w:t xml:space="preserve">RFC 8785 canonicalization</w:t>
            </w:r>
          </w:p>
        </w:tc>
        <w:tc>
          <w:tcPr>
            <w:tcW w:type="dxa" w:w="6360"/>
            <w:tcMar>
              <w:top w:type="dxa" w:w="70"/>
              <w:left w:type="dxa" w:w="110"/>
              <w:bottom w:type="dxa" w:w="70"/>
              <w:right w:type="dxa" w:w="110"/>
            </w:tcMar>
          </w:tcPr>
          <w:p>
            <w:pPr>
              <w:spacing w:after="0" w:line="260"/>
            </w:pPr>
            <w:r>
              <w:rPr>
                <w:sz w:val="20"/>
                <w:szCs w:val="20"/>
              </w:rPr>
              <w:t xml:space="preserve">Not implemented. The canonicalize library is not a dependency</w:t>
            </w:r>
          </w:p>
        </w:tc>
      </w:tr>
      <w:tr>
        <w:tc>
          <w:tcPr>
            <w:tcW w:type="dxa" w:w="500"/>
            <w:shd w:fill="F5F7FA" w:color="auto" w:val="clear"/>
            <w:tcMar>
              <w:top w:type="dxa" w:w="70"/>
              <w:left w:type="dxa" w:w="110"/>
              <w:bottom w:type="dxa" w:w="70"/>
              <w:right w:type="dxa" w:w="110"/>
            </w:tcMar>
          </w:tcPr>
          <w:p>
            <w:pPr>
              <w:spacing w:after="0" w:line="260"/>
            </w:pPr>
            <w:r>
              <w:rPr>
                <w:sz w:val="20"/>
                <w:szCs w:val="20"/>
              </w:rPr>
              <w:t xml:space="preserve">4</w:t>
            </w:r>
          </w:p>
        </w:tc>
        <w:tc>
          <w:tcPr>
            <w:tcW w:type="dxa" w:w="2500"/>
            <w:shd w:fill="F5F7FA" w:color="auto" w:val="clear"/>
            <w:tcMar>
              <w:top w:type="dxa" w:w="70"/>
              <w:left w:type="dxa" w:w="110"/>
              <w:bottom w:type="dxa" w:w="70"/>
              <w:right w:type="dxa" w:w="110"/>
            </w:tcMar>
          </w:tcPr>
          <w:p>
            <w:pPr>
              <w:spacing w:after="0" w:line="260"/>
            </w:pPr>
            <w:r>
              <w:rPr>
                <w:b/>
                <w:bCs/>
                <w:sz w:val="20"/>
                <w:szCs w:val="20"/>
              </w:rPr>
              <w:t xml:space="preserve">Record storage</w:t>
            </w:r>
          </w:p>
        </w:tc>
        <w:tc>
          <w:tcPr>
            <w:tcW w:type="dxa" w:w="6360"/>
            <w:shd w:fill="F5F7FA" w:color="auto" w:val="clear"/>
            <w:tcMar>
              <w:top w:type="dxa" w:w="70"/>
              <w:left w:type="dxa" w:w="110"/>
              <w:bottom w:type="dxa" w:w="70"/>
              <w:right w:type="dxa" w:w="110"/>
            </w:tcMar>
          </w:tcPr>
          <w:p>
            <w:pPr>
              <w:spacing w:after="0" w:line="260"/>
            </w:pPr>
            <w:r>
              <w:rPr>
                <w:sz w:val="20"/>
                <w:szCs w:val="20"/>
              </w:rPr>
              <w:t xml:space="preserve">persistence.ts — a debounced whole-blob write to browser storage. Not a ledger</w:t>
            </w:r>
          </w:p>
        </w:tc>
      </w:tr>
      <w:tr>
        <w:tc>
          <w:tcPr>
            <w:tcW w:type="dxa" w:w="500"/>
            <w:tcMar>
              <w:top w:type="dxa" w:w="70"/>
              <w:left w:type="dxa" w:w="110"/>
              <w:bottom w:type="dxa" w:w="70"/>
              <w:right w:type="dxa" w:w="110"/>
            </w:tcMar>
          </w:tcPr>
          <w:p>
            <w:pPr>
              <w:spacing w:after="0" w:line="260"/>
            </w:pPr>
            <w:r>
              <w:rPr>
                <w:sz w:val="20"/>
                <w:szCs w:val="20"/>
              </w:rPr>
              <w:t xml:space="preserve">5</w:t>
            </w:r>
          </w:p>
        </w:tc>
        <w:tc>
          <w:tcPr>
            <w:tcW w:type="dxa" w:w="2500"/>
            <w:tcMar>
              <w:top w:type="dxa" w:w="70"/>
              <w:left w:type="dxa" w:w="110"/>
              <w:bottom w:type="dxa" w:w="70"/>
              <w:right w:type="dxa" w:w="110"/>
            </w:tcMar>
          </w:tcPr>
          <w:p>
            <w:pPr>
              <w:spacing w:after="0" w:line="260"/>
            </w:pPr>
            <w:r>
              <w:rPr>
                <w:b/>
                <w:bCs/>
                <w:sz w:val="20"/>
                <w:szCs w:val="20"/>
              </w:rPr>
              <w:t xml:space="preserve">All data</w:t>
            </w:r>
          </w:p>
        </w:tc>
        <w:tc>
          <w:tcPr>
            <w:tcW w:type="dxa" w:w="6360"/>
            <w:tcMar>
              <w:top w:type="dxa" w:w="70"/>
              <w:left w:type="dxa" w:w="110"/>
              <w:bottom w:type="dxa" w:w="70"/>
              <w:right w:type="dxa" w:w="110"/>
            </w:tcMar>
          </w:tcPr>
          <w:p>
            <w:pPr>
              <w:spacing w:after="0" w:line="260"/>
            </w:pPr>
            <w:r>
              <w:rPr>
                <w:sz w:val="20"/>
                <w:szCs w:val="20"/>
              </w:rPr>
              <w:t xml:space="preserve">9 mock-data files, ~17,900 lines of fixtures. No backend</w:t>
            </w:r>
          </w:p>
        </w:tc>
      </w:tr>
      <w:tr>
        <w:tc>
          <w:tcPr>
            <w:tcW w:type="dxa" w:w="500"/>
            <w:shd w:fill="F5F7FA" w:color="auto" w:val="clear"/>
            <w:tcMar>
              <w:top w:type="dxa" w:w="70"/>
              <w:left w:type="dxa" w:w="110"/>
              <w:bottom w:type="dxa" w:w="70"/>
              <w:right w:type="dxa" w:w="110"/>
            </w:tcMar>
          </w:tcPr>
          <w:p>
            <w:pPr>
              <w:spacing w:after="0" w:line="260"/>
            </w:pPr>
            <w:r>
              <w:rPr>
                <w:sz w:val="20"/>
                <w:szCs w:val="20"/>
              </w:rPr>
              <w:t xml:space="preserve">6</w:t>
            </w:r>
          </w:p>
        </w:tc>
        <w:tc>
          <w:tcPr>
            <w:tcW w:type="dxa" w:w="2500"/>
            <w:shd w:fill="F5F7FA" w:color="auto" w:val="clear"/>
            <w:tcMar>
              <w:top w:type="dxa" w:w="70"/>
              <w:left w:type="dxa" w:w="110"/>
              <w:bottom w:type="dxa" w:w="70"/>
              <w:right w:type="dxa" w:w="110"/>
            </w:tcMar>
          </w:tcPr>
          <w:p>
            <w:pPr>
              <w:spacing w:after="0" w:line="260"/>
            </w:pPr>
            <w:r>
              <w:rPr>
                <w:b/>
                <w:bCs/>
                <w:sz w:val="20"/>
                <w:szCs w:val="20"/>
              </w:rPr>
              <w:t xml:space="preserve">CAMP transport</w:t>
            </w:r>
          </w:p>
        </w:tc>
        <w:tc>
          <w:tcPr>
            <w:tcW w:type="dxa" w:w="6360"/>
            <w:shd w:fill="F5F7FA" w:color="auto" w:val="clear"/>
            <w:tcMar>
              <w:top w:type="dxa" w:w="70"/>
              <w:left w:type="dxa" w:w="110"/>
              <w:bottom w:type="dxa" w:w="70"/>
              <w:right w:type="dxa" w:w="110"/>
            </w:tcMar>
          </w:tcPr>
          <w:p>
            <w:pPr>
              <w:spacing w:after="0" w:line="260"/>
            </w:pPr>
            <w:r>
              <w:rPr>
                <w:sz w:val="20"/>
                <w:szCs w:val="20"/>
              </w:rPr>
              <w:t xml:space="preserve">integration/campClient.ts — mock. The mapping and session contract are specified and tested; no SOAP client is installed</w:t>
            </w:r>
          </w:p>
        </w:tc>
      </w:tr>
      <w:tr>
        <w:tc>
          <w:tcPr>
            <w:tcW w:type="dxa" w:w="500"/>
            <w:tcMar>
              <w:top w:type="dxa" w:w="70"/>
              <w:left w:type="dxa" w:w="110"/>
              <w:bottom w:type="dxa" w:w="70"/>
              <w:right w:type="dxa" w:w="110"/>
            </w:tcMar>
          </w:tcPr>
          <w:p>
            <w:pPr>
              <w:spacing w:after="0" w:line="260"/>
            </w:pPr>
            <w:r>
              <w:rPr>
                <w:sz w:val="20"/>
                <w:szCs w:val="20"/>
              </w:rPr>
              <w:t xml:space="preserve">7</w:t>
            </w:r>
          </w:p>
        </w:tc>
        <w:tc>
          <w:tcPr>
            <w:tcW w:type="dxa" w:w="2500"/>
            <w:tcMar>
              <w:top w:type="dxa" w:w="70"/>
              <w:left w:type="dxa" w:w="110"/>
              <w:bottom w:type="dxa" w:w="70"/>
              <w:right w:type="dxa" w:w="110"/>
            </w:tcMar>
          </w:tcPr>
          <w:p>
            <w:pPr>
              <w:spacing w:after="0" w:line="260"/>
            </w:pPr>
            <w:r>
              <w:rPr>
                <w:b/>
                <w:bCs/>
                <w:sz w:val="20"/>
                <w:szCs w:val="20"/>
              </w:rPr>
              <w:t xml:space="preserve">Offline storage</w:t>
            </w:r>
          </w:p>
        </w:tc>
        <w:tc>
          <w:tcPr>
            <w:tcW w:type="dxa" w:w="6360"/>
            <w:tcMar>
              <w:top w:type="dxa" w:w="70"/>
              <w:left w:type="dxa" w:w="110"/>
              <w:bottom w:type="dxa" w:w="70"/>
              <w:right w:type="dxa" w:w="110"/>
            </w:tcMar>
          </w:tcPr>
          <w:p>
            <w:pPr>
              <w:spacing w:after="0" w:line="260"/>
            </w:pPr>
            <w:r>
              <w:rPr>
                <w:sz w:val="20"/>
                <w:szCs w:val="20"/>
              </w:rPr>
              <w:t xml:space="preserve">Not present. No Capacitor, no native SQLite</w:t>
            </w:r>
          </w:p>
        </w:tc>
      </w:tr>
    </w:tbl>
    <w:p>
      <w:pPr>
        <w:spacing w:after="160"/>
      </w:pPr>
      <w:r>
        <w:rPr>
          <w:sz w:val="2"/>
          <w:szCs w:val="2"/>
        </w:rPr>
        <w:t xml:space="preserve"/>
      </w:r>
    </w:p>
    <w:p>
      <w:pPr>
        <w:pStyle w:val="Heading2"/>
        <w:spacing w:after="120" w:before="260"/>
      </w:pPr>
      <w:r>
        <w:rPr>
          <w:b/>
          <w:bCs/>
          <w:color w:val="1F3864"/>
          <w:sz w:val="23"/>
          <w:szCs w:val="23"/>
        </w:rPr>
        <w:t xml:space="preserve">2.3  What the Tech Log estimate should therefore cover</w:t>
      </w:r>
    </w:p>
    <w:p>
      <w:pPr>
        <w:spacing w:after="140" w:line="276"/>
      </w:pPr>
      <w:r>
        <w:rPr>
          <w:sz w:val="21"/>
          <w:szCs w:val="21"/>
        </w:rPr>
        <w:t xml:space="preserve">Because the front end and the rule engines are provided, we’d expect very little of the estimate to go toward screens. Please break the 160 hrs into sub-items against the following, and tell us if the number needs to change:</w:t>
      </w:r>
    </w:p>
    <w:p>
      <w:pPr>
        <w:pStyle w:val="ListParagraph"/>
        <w:numPr>
          <w:ilvl w:val="0"/>
          <w:numId w:val="3"/>
        </w:numPr>
        <w:spacing w:after="110" w:line="276"/>
      </w:pPr>
      <w:r>
        <w:rPr>
          <w:b/>
          <w:bCs/>
          <w:sz w:val="21"/>
          <w:szCs w:val="21"/>
        </w:rPr>
        <w:t xml:space="preserve">Append-only ledger storage. </w:t>
      </w:r>
      <w:r>
        <w:rPr>
          <w:sz w:val="21"/>
          <w:szCs w:val="21"/>
        </w:rPr>
        <w:t xml:space="preserve">Signed records — journey log, defects, deferrals, maintenance releases, signatures, audit trail — stored immutably, with corrections handled as superseding inserts rather than updates. Note that ledger schema changes are forward-only, so the schema needs to be settled before the tables are created.</w:t>
      </w:r>
    </w:p>
    <w:p>
      <w:pPr>
        <w:pStyle w:val="ListParagraph"/>
        <w:numPr>
          <w:ilvl w:val="0"/>
          <w:numId w:val="3"/>
        </w:numPr>
        <w:spacing w:after="110" w:line="276"/>
      </w:pPr>
      <w:r>
        <w:rPr>
          <w:b/>
          <w:bCs/>
          <w:sz w:val="21"/>
          <w:szCs w:val="21"/>
        </w:rPr>
        <w:t xml:space="preserve">Real signature chain. </w:t>
      </w:r>
      <w:r>
        <w:rPr>
          <w:sz w:val="21"/>
          <w:szCs w:val="21"/>
        </w:rPr>
        <w:t xml:space="preserve">RFC 8785 (JCS) canonicalization plus SHA-256, replacing items 1–3 above. The content hash must be recomputed server-side at commit, and the server timestamp must be authoritative over the client’s.</w:t>
      </w:r>
    </w:p>
    <w:p>
      <w:pPr>
        <w:pStyle w:val="ListParagraph"/>
        <w:numPr>
          <w:ilvl w:val="0"/>
          <w:numId w:val="3"/>
        </w:numPr>
        <w:spacing w:after="110" w:line="276"/>
      </w:pPr>
      <w:r>
        <w:rPr>
          <w:b/>
          <w:bCs/>
          <w:sz w:val="21"/>
          <w:szCs w:val="21"/>
        </w:rPr>
        <w:t xml:space="preserve">Durable and offline persistence. </w:t>
      </w:r>
      <w:r>
        <w:rPr>
          <w:sz w:val="21"/>
          <w:szCs w:val="21"/>
        </w:rPr>
        <w:t xml:space="preserve">Replacing item 4. Signed records must persist to durable storage the moment they are signed, before any sync is attempted. This includes the idempotency and conflict model for reconnect.</w:t>
      </w:r>
    </w:p>
    <w:p>
      <w:pPr>
        <w:pStyle w:val="ListParagraph"/>
        <w:numPr>
          <w:ilvl w:val="0"/>
          <w:numId w:val="3"/>
        </w:numPr>
        <w:spacing w:after="110" w:line="276"/>
      </w:pPr>
      <w:r>
        <w:rPr>
          <w:b/>
          <w:bCs/>
          <w:sz w:val="21"/>
          <w:szCs w:val="21"/>
        </w:rPr>
        <w:t xml:space="preserve">Backend and API. </w:t>
      </w:r>
      <w:r>
        <w:rPr>
          <w:sz w:val="21"/>
          <w:szCs w:val="21"/>
        </w:rPr>
        <w:t xml:space="preserve">Replacing item 5 — real persistence behind the provided front end.</w:t>
      </w:r>
    </w:p>
    <w:p>
      <w:pPr>
        <w:pStyle w:val="ListParagraph"/>
        <w:numPr>
          <w:ilvl w:val="0"/>
          <w:numId w:val="3"/>
        </w:numPr>
        <w:spacing w:after="110" w:line="276"/>
      </w:pPr>
      <w:r>
        <w:rPr>
          <w:b/>
          <w:bCs/>
          <w:sz w:val="21"/>
          <w:szCs w:val="21"/>
        </w:rPr>
        <w:t xml:space="preserve">CAMP transport. </w:t>
      </w:r>
      <w:r>
        <w:rPr>
          <w:sz w:val="21"/>
          <w:szCs w:val="21"/>
        </w:rPr>
        <w:t xml:space="preserve">Replacing item 6 — the live SOAP client behind the provided mapping, session, and reconciliation layer, with the documented error taxonomy handled explicitly.</w:t>
      </w:r>
    </w:p>
    <w:p>
      <w:pPr>
        <w:pStyle w:val="ListParagraph"/>
        <w:numPr>
          <w:ilvl w:val="0"/>
          <w:numId w:val="3"/>
        </w:numPr>
        <w:spacing w:after="110" w:line="276"/>
      </w:pPr>
      <w:r>
        <w:rPr>
          <w:b/>
          <w:bCs/>
          <w:sz w:val="21"/>
          <w:szCs w:val="21"/>
        </w:rPr>
        <w:t xml:space="preserve">Sign-off enforcement, server-side. </w:t>
      </w:r>
      <w:r>
        <w:rPr>
          <w:sz w:val="21"/>
          <w:szCs w:val="21"/>
        </w:rPr>
        <w:t xml:space="preserve">The rules are specified and tested in the code we’re providing, but they must be enforced at the API, not only in the UI: a Certificate of Release to Service blocked when the signer has no A&amp;P certificate number on file, and performer / inspector separation on RII-required sign-offs.</w:t>
      </w:r>
    </w:p>
    <w:p>
      <w:pPr>
        <w:pStyle w:val="ListParagraph"/>
        <w:numPr>
          <w:ilvl w:val="0"/>
          <w:numId w:val="3"/>
        </w:numPr>
        <w:spacing w:after="110" w:line="276"/>
      </w:pPr>
      <w:r>
        <w:rPr>
          <w:b/>
          <w:bCs/>
          <w:sz w:val="21"/>
          <w:szCs w:val="21"/>
        </w:rPr>
        <w:t xml:space="preserve">Test coverage. </w:t>
      </w:r>
      <w:r>
        <w:rPr>
          <w:sz w:val="21"/>
          <w:szCs w:val="21"/>
        </w:rPr>
        <w:t xml:space="preserve">Confirmation that the provided suite runs green against the production build, plus coverage for the new infrastructure.</w:t>
      </w:r>
    </w:p>
    <w:p>
      <w:pPr>
        <w:pStyle w:val="Heading2"/>
        <w:spacing w:after="120" w:before="260"/>
      </w:pPr>
      <w:r>
        <w:rPr>
          <w:b/>
          <w:bCs/>
          <w:color w:val="1F3864"/>
          <w:sz w:val="23"/>
          <w:szCs w:val="23"/>
        </w:rPr>
        <w:t xml:space="preserve">2.4  One point we want to be explicit about</w:t>
      </w:r>
    </w:p>
    <w:p>
      <w:pPr>
        <w:spacing w:after="140" w:line="276"/>
      </w:pPr>
      <w:r>
        <w:rPr>
          <w:sz w:val="21"/>
          <w:szCs w:val="21"/>
        </w:rPr>
        <w:t xml:space="preserve">The module we’re handing over renders signature blocks and hash values, but those hashes are placeholders. If it is ported and connected without replacing items 1–4 above, the result would look like a compliant technical log while not being one — and that failure would not be visible to a user.</w:t>
      </w:r>
    </w:p>
    <w:p>
      <w:pPr>
        <w:spacing w:after="140" w:line="276"/>
      </w:pPr>
      <w:r>
        <w:rPr>
          <w:sz w:val="21"/>
          <w:szCs w:val="21"/>
        </w:rPr>
        <w:t xml:space="preserve">This module is the aircraft’s maintenance record under 14 CFR 91.417. Immutability and signature integrity cannot be retrofitted after records have been signed. We’d rather increase this line and cut elsewhere than discover a gap mid-build, so please tell us plainly if 160 hrs does not cover the seven items above.</w:t>
      </w:r>
    </w:p>
    <w:p>
      <w:pPr>
        <w:pStyle w:val="Heading1"/>
        <w:spacing w:after="160" w:before="340"/>
      </w:pPr>
      <w:r>
        <w:rPr>
          <w:b/>
          <w:bCs/>
          <w:color w:val="1F3864"/>
          <w:sz w:val="28"/>
          <w:szCs w:val="28"/>
        </w:rPr>
        <w:t xml:space="preserve">3.  Acceptance artifacts we will provide</w:t>
      </w:r>
    </w:p>
    <w:p>
      <w:pPr>
        <w:spacing w:after="140" w:line="276"/>
      </w:pPr>
      <w:r>
        <w:rPr>
          <w:sz w:val="21"/>
          <w:szCs w:val="21"/>
        </w:rPr>
        <w:t xml:space="preserve">To make the port cleaner and to give both sides an objective definition of “correct,” we’ll prepare the following alongside the code handover. These are our deliverables, at our cost, and we’d like them referenced as acceptance criteria in the SOW.</w:t>
      </w:r>
    </w:p>
    <w:p>
      <w:pPr>
        <w:pStyle w:val="ListParagraph"/>
        <w:numPr>
          <w:ilvl w:val="0"/>
          <w:numId w:val="3"/>
        </w:numPr>
        <w:spacing w:after="110" w:line="276"/>
      </w:pPr>
      <w:r>
        <w:rPr>
          <w:b/>
          <w:bCs/>
          <w:sz w:val="21"/>
          <w:szCs w:val="21"/>
        </w:rPr>
        <w:t xml:space="preserve">Golden signing vectors. </w:t>
      </w:r>
      <w:r>
        <w:rPr>
          <w:sz w:val="21"/>
          <w:szCs w:val="21"/>
        </w:rPr>
        <w:t xml:space="preserve">A fixture set of representative signed payloads with their RFC 8785 canonical form and true SHA-256 digest. Any correct implementation reproduces the digests exactly. This makes client/server hash agreement verifiable rather than a matter of inspection, and it is the single hardest property to confirm by code review.</w:t>
      </w:r>
    </w:p>
    <w:p>
      <w:pPr>
        <w:pStyle w:val="ListParagraph"/>
        <w:numPr>
          <w:ilvl w:val="0"/>
          <w:numId w:val="3"/>
        </w:numPr>
        <w:spacing w:after="110" w:line="276"/>
      </w:pPr>
      <w:r>
        <w:rPr>
          <w:b/>
          <w:bCs/>
          <w:sz w:val="21"/>
          <w:szCs w:val="21"/>
        </w:rPr>
        <w:t xml:space="preserve">Compliance conformance pack. </w:t>
      </w:r>
      <w:r>
        <w:rPr>
          <w:sz w:val="21"/>
          <w:szCs w:val="21"/>
        </w:rPr>
        <w:t xml:space="preserve">The ~81 compliance test cases extracted into language-neutral fixtures — input, expected output, and the governing rule for each. Covers the PL-25 clock, deferral expiry and extension, RII separation, superseding records, custody, and dispatch gating. The production build should pass these as a condition of acceptance.</w:t>
      </w:r>
    </w:p>
    <w:p>
      <w:pPr>
        <w:pStyle w:val="ListParagraph"/>
        <w:numPr>
          <w:ilvl w:val="0"/>
          <w:numId w:val="3"/>
        </w:numPr>
        <w:spacing w:after="110" w:line="276"/>
      </w:pPr>
      <w:r>
        <w:rPr>
          <w:b/>
          <w:bCs/>
          <w:sz w:val="21"/>
          <w:szCs w:val="21"/>
        </w:rPr>
        <w:t xml:space="preserve">Ledger schema contract. </w:t>
      </w:r>
      <w:r>
        <w:rPr>
          <w:sz w:val="21"/>
          <w:szCs w:val="21"/>
        </w:rPr>
        <w:t xml:space="preserve">Table-by-table definition of which records are append-only versus updatable, the superseding-insert pattern, and column nullability rules. Provided before the tables are created, since ledger migrations are forward-only.</w:t>
      </w:r>
    </w:p>
    <w:p>
      <w:pPr>
        <w:pStyle w:val="ListParagraph"/>
        <w:numPr>
          <w:ilvl w:val="0"/>
          <w:numId w:val="3"/>
        </w:numPr>
        <w:spacing w:after="110" w:line="276"/>
      </w:pPr>
      <w:r>
        <w:rPr>
          <w:b/>
          <w:bCs/>
          <w:sz w:val="21"/>
          <w:szCs w:val="21"/>
        </w:rPr>
        <w:t xml:space="preserve">CAMP fixture pack. </w:t>
      </w:r>
      <w:r>
        <w:rPr>
          <w:sz w:val="21"/>
          <w:szCs w:val="21"/>
        </w:rPr>
        <w:t xml:space="preserve">The error taxonomy as explicit constants with required handling per code, unit-conversion cases (CAMP stores hours as minutes; utilization is increase-only), and tail/serial exact-match validation cases. Exact tail and serial matching is the documented leading cause of CAMP integration failure, so we want it pinned by fixture.</w:t>
      </w:r>
    </w:p>
    <w:p>
      <w:pPr>
        <w:pStyle w:val="ListParagraph"/>
        <w:numPr>
          <w:ilvl w:val="0"/>
          <w:numId w:val="3"/>
        </w:numPr>
        <w:spacing w:after="110" w:line="276"/>
      </w:pPr>
      <w:r>
        <w:rPr>
          <w:b/>
          <w:bCs/>
          <w:sz w:val="21"/>
          <w:szCs w:val="21"/>
        </w:rPr>
        <w:t xml:space="preserve">Negative-path acceptance checklist. </w:t>
      </w:r>
      <w:r>
        <w:rPr>
          <w:sz w:val="21"/>
          <w:szCs w:val="21"/>
        </w:rPr>
        <w:t xml:space="preserve">A short set of assertions that must fail correctly — an UPDATE against a ledger table, a CRS sign-off without an A&amp;P certificate on file, a deferral against an MEL item not yet approved, the same person as both performer and RII inspector. These are the cases where a wrong result is silent.</w:t>
      </w:r>
    </w:p>
    <w:p>
      <w:pPr>
        <w:spacing w:after="60"/>
      </w:pPr>
      <w:r>
        <w:rPr>
          <w:sz w:val="2"/>
          <w:szCs w:val="2"/>
        </w:rPr>
        <w:t xml:space="preserve"/>
      </w:r>
    </w:p>
    <w:p>
      <w:pPr>
        <w:spacing w:after="140" w:line="276"/>
      </w:pPr>
      <w:r>
        <w:rPr>
          <w:sz w:val="21"/>
          <w:szCs w:val="21"/>
        </w:rPr>
        <w:t xml:space="preserve">We’d propose that items 1, 2, and 5 form the objective portion of UAT for the Tech Log module.</w:t>
      </w:r>
    </w:p>
    <w:p>
      <w:pPr>
        <w:pStyle w:val="Heading1"/>
        <w:spacing w:after="160" w:before="340"/>
      </w:pPr>
      <w:r>
        <w:rPr>
          <w:b/>
          <w:bCs/>
          <w:color w:val="1F3864"/>
          <w:sz w:val="28"/>
          <w:szCs w:val="28"/>
        </w:rPr>
        <w:t xml:space="preserve">4.  Deferred to a later phase — 629 hrs</w:t>
      </w:r>
    </w:p>
    <w:tbl>
      <w:tblPr>
        <w:tblW w:type="dxa" w:w="9360"/>
        <w:tblBorders>
          <w:top w:val="single" w:color="BFBFBF" w:sz="4"/>
          <w:left w:val="none" w:color="FFFFFF" w:sz="0"/>
          <w:bottom w:val="single" w:color="BFBFBF" w:sz="4"/>
          <w:right w:val="none" w:color="FFFFFF" w:sz="0"/>
          <w:insideH w:val="single" w:color="DDDDDD" w:sz="2"/>
          <w:insideV w:val="none" w:color="FFFFFF" w:sz="0"/>
        </w:tblBorders>
      </w:tblPr>
      <w:tblGrid>
        <w:gridCol w:w="7920"/>
        <w:gridCol w:w="1440"/>
      </w:tblGrid>
      <w:tr>
        <w:trPr>
          <w:tblHeader/>
        </w:trPr>
        <w:tc>
          <w:tcPr>
            <w:tcW w:type="dxa" w:w="7920"/>
            <w:shd w:fill="E8EDF5" w:color="auto" w:val="clear"/>
            <w:tcMar>
              <w:top w:type="dxa" w:w="70"/>
              <w:left w:type="dxa" w:w="110"/>
              <w:bottom w:type="dxa" w:w="70"/>
              <w:right w:type="dxa" w:w="110"/>
            </w:tcMar>
          </w:tcPr>
          <w:p>
            <w:pPr>
              <w:spacing w:after="0" w:line="260"/>
            </w:pPr>
            <w:r>
              <w:rPr>
                <w:b/>
                <w:bCs/>
                <w:sz w:val="20"/>
                <w:szCs w:val="20"/>
              </w:rPr>
              <w:t xml:space="preserve">Item</w:t>
            </w:r>
          </w:p>
        </w:tc>
        <w:tc>
          <w:tcPr>
            <w:tcW w:type="dxa" w:w="1440"/>
            <w:shd w:fill="E8EDF5" w:color="auto" w:val="clear"/>
            <w:tcMar>
              <w:top w:type="dxa" w:w="70"/>
              <w:left w:type="dxa" w:w="110"/>
              <w:bottom w:type="dxa" w:w="70"/>
              <w:right w:type="dxa" w:w="110"/>
            </w:tcMar>
          </w:tcPr>
          <w:p>
            <w:pPr>
              <w:spacing w:after="0" w:line="260"/>
              <w:jc w:val="right"/>
            </w:pPr>
            <w:r>
              <w:rPr>
                <w:b/>
                <w:bCs/>
                <w:sz w:val="20"/>
                <w:szCs w:val="20"/>
              </w:rPr>
              <w:t xml:space="preserve">Hrs</w:t>
            </w:r>
          </w:p>
        </w:tc>
      </w:tr>
      <w:tr>
        <w:tc>
          <w:tcPr>
            <w:tcW w:type="dxa" w:w="7920"/>
            <w:tcMar>
              <w:top w:type="dxa" w:w="70"/>
              <w:left w:type="dxa" w:w="110"/>
              <w:bottom w:type="dxa" w:w="70"/>
              <w:right w:type="dxa" w:w="110"/>
            </w:tcMar>
          </w:tcPr>
          <w:p>
            <w:pPr>
              <w:spacing w:after="0" w:line="260"/>
            </w:pPr>
            <w:r>
              <w:rPr>
                <w:sz w:val="20"/>
                <w:szCs w:val="20"/>
              </w:rPr>
              <w:t xml:space="preserve">Scheduling Calendar / Command Center</w:t>
            </w:r>
          </w:p>
        </w:tc>
        <w:tc>
          <w:tcPr>
            <w:tcW w:type="dxa" w:w="1440"/>
            <w:tcMar>
              <w:top w:type="dxa" w:w="70"/>
              <w:left w:type="dxa" w:w="110"/>
              <w:bottom w:type="dxa" w:w="70"/>
              <w:right w:type="dxa" w:w="110"/>
            </w:tcMar>
          </w:tcPr>
          <w:p>
            <w:pPr>
              <w:spacing w:after="0" w:line="260"/>
              <w:jc w:val="right"/>
            </w:pPr>
            <w:r>
              <w:rPr>
                <w:sz w:val="20"/>
                <w:szCs w:val="20"/>
              </w:rPr>
              <w:t xml:space="preserve">160</w:t>
            </w:r>
          </w:p>
        </w:tc>
      </w:tr>
      <w:tr>
        <w:tc>
          <w:tcPr>
            <w:tcW w:type="dxa" w:w="7920"/>
            <w:shd w:fill="F5F7FA" w:color="auto" w:val="clear"/>
            <w:tcMar>
              <w:top w:type="dxa" w:w="70"/>
              <w:left w:type="dxa" w:w="110"/>
              <w:bottom w:type="dxa" w:w="70"/>
              <w:right w:type="dxa" w:w="110"/>
            </w:tcMar>
          </w:tcPr>
          <w:p>
            <w:pPr>
              <w:spacing w:after="0" w:line="260"/>
            </w:pPr>
            <w:r>
              <w:rPr>
                <w:sz w:val="20"/>
                <w:szCs w:val="20"/>
              </w:rPr>
              <w:t xml:space="preserve">Pilot Preflight Workflow — remainder</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105</w:t>
            </w:r>
          </w:p>
        </w:tc>
      </w:tr>
      <w:tr>
        <w:tc>
          <w:tcPr>
            <w:tcW w:type="dxa" w:w="7920"/>
            <w:tcMar>
              <w:top w:type="dxa" w:w="70"/>
              <w:left w:type="dxa" w:w="110"/>
              <w:bottom w:type="dxa" w:w="70"/>
              <w:right w:type="dxa" w:w="110"/>
            </w:tcMar>
          </w:tcPr>
          <w:p>
            <w:pPr>
              <w:spacing w:after="0" w:line="260"/>
            </w:pPr>
            <w:r>
              <w:rPr>
                <w:sz w:val="20"/>
                <w:szCs w:val="20"/>
              </w:rPr>
              <w:t xml:space="preserve">Calendar Sync</w:t>
            </w:r>
          </w:p>
        </w:tc>
        <w:tc>
          <w:tcPr>
            <w:tcW w:type="dxa" w:w="1440"/>
            <w:tcMar>
              <w:top w:type="dxa" w:w="70"/>
              <w:left w:type="dxa" w:w="110"/>
              <w:bottom w:type="dxa" w:w="70"/>
              <w:right w:type="dxa" w:w="110"/>
            </w:tcMar>
          </w:tcPr>
          <w:p>
            <w:pPr>
              <w:spacing w:after="0" w:line="260"/>
              <w:jc w:val="right"/>
            </w:pPr>
            <w:r>
              <w:rPr>
                <w:sz w:val="20"/>
                <w:szCs w:val="20"/>
              </w:rPr>
              <w:t xml:space="preserve">60</w:t>
            </w:r>
          </w:p>
        </w:tc>
      </w:tr>
      <w:tr>
        <w:tc>
          <w:tcPr>
            <w:tcW w:type="dxa" w:w="7920"/>
            <w:shd w:fill="F5F7FA" w:color="auto" w:val="clear"/>
            <w:tcMar>
              <w:top w:type="dxa" w:w="70"/>
              <w:left w:type="dxa" w:w="110"/>
              <w:bottom w:type="dxa" w:w="70"/>
              <w:right w:type="dxa" w:w="110"/>
            </w:tcMar>
          </w:tcPr>
          <w:p>
            <w:pPr>
              <w:spacing w:after="0" w:line="260"/>
            </w:pPr>
            <w:r>
              <w:rPr>
                <w:sz w:val="20"/>
                <w:szCs w:val="20"/>
              </w:rPr>
              <w:t xml:space="preserve">Sign Offs</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40</w:t>
            </w:r>
          </w:p>
        </w:tc>
      </w:tr>
      <w:tr>
        <w:tc>
          <w:tcPr>
            <w:tcW w:type="dxa" w:w="7920"/>
            <w:tcMar>
              <w:top w:type="dxa" w:w="70"/>
              <w:left w:type="dxa" w:w="110"/>
              <w:bottom w:type="dxa" w:w="70"/>
              <w:right w:type="dxa" w:w="110"/>
            </w:tcMar>
          </w:tcPr>
          <w:p>
            <w:pPr>
              <w:spacing w:after="0" w:line="260"/>
            </w:pPr>
            <w:r>
              <w:rPr>
                <w:sz w:val="20"/>
                <w:szCs w:val="20"/>
              </w:rPr>
              <w:t xml:space="preserve">Flight Calendar</w:t>
            </w:r>
          </w:p>
        </w:tc>
        <w:tc>
          <w:tcPr>
            <w:tcW w:type="dxa" w:w="1440"/>
            <w:tcMar>
              <w:top w:type="dxa" w:w="70"/>
              <w:left w:type="dxa" w:w="110"/>
              <w:bottom w:type="dxa" w:w="70"/>
              <w:right w:type="dxa" w:w="110"/>
            </w:tcMar>
          </w:tcPr>
          <w:p>
            <w:pPr>
              <w:spacing w:after="0" w:line="260"/>
              <w:jc w:val="right"/>
            </w:pPr>
            <w:r>
              <w:rPr>
                <w:sz w:val="20"/>
                <w:szCs w:val="20"/>
              </w:rPr>
              <w:t xml:space="preserve">36</w:t>
            </w:r>
          </w:p>
        </w:tc>
      </w:tr>
      <w:tr>
        <w:tc>
          <w:tcPr>
            <w:tcW w:type="dxa" w:w="7920"/>
            <w:shd w:fill="F5F7FA" w:color="auto" w:val="clear"/>
            <w:tcMar>
              <w:top w:type="dxa" w:w="70"/>
              <w:left w:type="dxa" w:w="110"/>
              <w:bottom w:type="dxa" w:w="70"/>
              <w:right w:type="dxa" w:w="110"/>
            </w:tcMar>
          </w:tcPr>
          <w:p>
            <w:pPr>
              <w:spacing w:after="0" w:line="260"/>
            </w:pPr>
            <w:r>
              <w:rPr>
                <w:sz w:val="20"/>
                <w:szCs w:val="20"/>
              </w:rPr>
              <w:t xml:space="preserve">Flight Attendant Upcoming Flights Dashboard</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32</w:t>
            </w:r>
          </w:p>
        </w:tc>
      </w:tr>
      <w:tr>
        <w:tc>
          <w:tcPr>
            <w:tcW w:type="dxa" w:w="7920"/>
            <w:tcMar>
              <w:top w:type="dxa" w:w="70"/>
              <w:left w:type="dxa" w:w="110"/>
              <w:bottom w:type="dxa" w:w="70"/>
              <w:right w:type="dxa" w:w="110"/>
            </w:tcMar>
          </w:tcPr>
          <w:p>
            <w:pPr>
              <w:spacing w:after="0" w:line="260"/>
            </w:pPr>
            <w:r>
              <w:rPr>
                <w:sz w:val="20"/>
                <w:szCs w:val="20"/>
              </w:rPr>
              <w:t xml:space="preserve">Message Thread in Hazard Reports</w:t>
            </w:r>
          </w:p>
        </w:tc>
        <w:tc>
          <w:tcPr>
            <w:tcW w:type="dxa" w:w="1440"/>
            <w:tcMar>
              <w:top w:type="dxa" w:w="70"/>
              <w:left w:type="dxa" w:w="110"/>
              <w:bottom w:type="dxa" w:w="70"/>
              <w:right w:type="dxa" w:w="110"/>
            </w:tcMar>
          </w:tcPr>
          <w:p>
            <w:pPr>
              <w:spacing w:after="0" w:line="260"/>
              <w:jc w:val="right"/>
            </w:pPr>
            <w:r>
              <w:rPr>
                <w:sz w:val="20"/>
                <w:szCs w:val="20"/>
              </w:rPr>
              <w:t xml:space="preserve">32</w:t>
            </w:r>
          </w:p>
        </w:tc>
      </w:tr>
      <w:tr>
        <w:tc>
          <w:tcPr>
            <w:tcW w:type="dxa" w:w="7920"/>
            <w:shd w:fill="F5F7FA" w:color="auto" w:val="clear"/>
            <w:tcMar>
              <w:top w:type="dxa" w:w="70"/>
              <w:left w:type="dxa" w:w="110"/>
              <w:bottom w:type="dxa" w:w="70"/>
              <w:right w:type="dxa" w:w="110"/>
            </w:tcMar>
          </w:tcPr>
          <w:p>
            <w:pPr>
              <w:spacing w:after="0" w:line="260"/>
            </w:pPr>
            <w:r>
              <w:rPr>
                <w:sz w:val="20"/>
                <w:szCs w:val="20"/>
              </w:rPr>
              <w:t xml:space="preserve">Tribal knowledge section</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32</w:t>
            </w:r>
          </w:p>
        </w:tc>
      </w:tr>
      <w:tr>
        <w:tc>
          <w:tcPr>
            <w:tcW w:type="dxa" w:w="7920"/>
            <w:tcMar>
              <w:top w:type="dxa" w:w="70"/>
              <w:left w:type="dxa" w:w="110"/>
              <w:bottom w:type="dxa" w:w="70"/>
              <w:right w:type="dxa" w:w="110"/>
            </w:tcMar>
          </w:tcPr>
          <w:p>
            <w:pPr>
              <w:spacing w:after="0" w:line="260"/>
            </w:pPr>
            <w:r>
              <w:rPr>
                <w:sz w:val="20"/>
                <w:szCs w:val="20"/>
              </w:rPr>
              <w:t xml:space="preserve">Flight Operations Bulletins</w:t>
            </w:r>
          </w:p>
        </w:tc>
        <w:tc>
          <w:tcPr>
            <w:tcW w:type="dxa" w:w="1440"/>
            <w:tcMar>
              <w:top w:type="dxa" w:w="70"/>
              <w:left w:type="dxa" w:w="110"/>
              <w:bottom w:type="dxa" w:w="70"/>
              <w:right w:type="dxa" w:w="110"/>
            </w:tcMar>
          </w:tcPr>
          <w:p>
            <w:pPr>
              <w:spacing w:after="0" w:line="260"/>
              <w:jc w:val="right"/>
            </w:pPr>
            <w:r>
              <w:rPr>
                <w:sz w:val="20"/>
                <w:szCs w:val="20"/>
              </w:rPr>
              <w:t xml:space="preserve">24</w:t>
            </w:r>
          </w:p>
        </w:tc>
      </w:tr>
      <w:tr>
        <w:tc>
          <w:tcPr>
            <w:tcW w:type="dxa" w:w="7920"/>
            <w:shd w:fill="F5F7FA" w:color="auto" w:val="clear"/>
            <w:tcMar>
              <w:top w:type="dxa" w:w="70"/>
              <w:left w:type="dxa" w:w="110"/>
              <w:bottom w:type="dxa" w:w="70"/>
              <w:right w:type="dxa" w:w="110"/>
            </w:tcMar>
          </w:tcPr>
          <w:p>
            <w:pPr>
              <w:spacing w:after="0" w:line="260"/>
            </w:pPr>
            <w:r>
              <w:rPr>
                <w:sz w:val="20"/>
                <w:szCs w:val="20"/>
              </w:rPr>
              <w:t xml:space="preserve">Schedule — airport’s own local time</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20</w:t>
            </w:r>
          </w:p>
        </w:tc>
      </w:tr>
      <w:tr>
        <w:tc>
          <w:tcPr>
            <w:tcW w:type="dxa" w:w="7920"/>
            <w:tcMar>
              <w:top w:type="dxa" w:w="70"/>
              <w:left w:type="dxa" w:w="110"/>
              <w:bottom w:type="dxa" w:w="70"/>
              <w:right w:type="dxa" w:w="110"/>
            </w:tcMar>
          </w:tcPr>
          <w:p>
            <w:pPr>
              <w:spacing w:after="0" w:line="260"/>
            </w:pPr>
            <w:r>
              <w:rPr>
                <w:sz w:val="20"/>
                <w:szCs w:val="20"/>
              </w:rPr>
              <w:t xml:space="preserve">Images and comments for passenger cards</w:t>
            </w:r>
          </w:p>
        </w:tc>
        <w:tc>
          <w:tcPr>
            <w:tcW w:type="dxa" w:w="1440"/>
            <w:tcMar>
              <w:top w:type="dxa" w:w="70"/>
              <w:left w:type="dxa" w:w="110"/>
              <w:bottom w:type="dxa" w:w="70"/>
              <w:right w:type="dxa" w:w="110"/>
            </w:tcMar>
          </w:tcPr>
          <w:p>
            <w:pPr>
              <w:spacing w:after="0" w:line="260"/>
              <w:jc w:val="right"/>
            </w:pPr>
            <w:r>
              <w:rPr>
                <w:sz w:val="20"/>
                <w:szCs w:val="20"/>
              </w:rPr>
              <w:t xml:space="preserve">20</w:t>
            </w:r>
          </w:p>
        </w:tc>
      </w:tr>
      <w:tr>
        <w:tc>
          <w:tcPr>
            <w:tcW w:type="dxa" w:w="7920"/>
            <w:shd w:fill="F5F7FA" w:color="auto" w:val="clear"/>
            <w:tcMar>
              <w:top w:type="dxa" w:w="70"/>
              <w:left w:type="dxa" w:w="110"/>
              <w:bottom w:type="dxa" w:w="70"/>
              <w:right w:type="dxa" w:w="110"/>
            </w:tcMar>
          </w:tcPr>
          <w:p>
            <w:pPr>
              <w:spacing w:after="0" w:line="260"/>
            </w:pPr>
            <w:r>
              <w:rPr>
                <w:sz w:val="20"/>
                <w:szCs w:val="20"/>
              </w:rPr>
              <w:t xml:space="preserve">Stacked bar chart crew tracking</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20</w:t>
            </w:r>
          </w:p>
        </w:tc>
      </w:tr>
      <w:tr>
        <w:tc>
          <w:tcPr>
            <w:tcW w:type="dxa" w:w="7920"/>
            <w:tcMar>
              <w:top w:type="dxa" w:w="70"/>
              <w:left w:type="dxa" w:w="110"/>
              <w:bottom w:type="dxa" w:w="70"/>
              <w:right w:type="dxa" w:w="110"/>
            </w:tcMar>
          </w:tcPr>
          <w:p>
            <w:pPr>
              <w:spacing w:after="0" w:line="260"/>
            </w:pPr>
            <w:r>
              <w:rPr>
                <w:sz w:val="20"/>
                <w:szCs w:val="20"/>
              </w:rPr>
              <w:t xml:space="preserve">myAirOps edge case — deleted trip legs</w:t>
            </w:r>
          </w:p>
        </w:tc>
        <w:tc>
          <w:tcPr>
            <w:tcW w:type="dxa" w:w="1440"/>
            <w:tcMar>
              <w:top w:type="dxa" w:w="70"/>
              <w:left w:type="dxa" w:w="110"/>
              <w:bottom w:type="dxa" w:w="70"/>
              <w:right w:type="dxa" w:w="110"/>
            </w:tcMar>
          </w:tcPr>
          <w:p>
            <w:pPr>
              <w:spacing w:after="0" w:line="260"/>
              <w:jc w:val="right"/>
            </w:pPr>
            <w:r>
              <w:rPr>
                <w:sz w:val="20"/>
                <w:szCs w:val="20"/>
              </w:rPr>
              <w:t xml:space="preserve">16</w:t>
            </w:r>
          </w:p>
        </w:tc>
      </w:tr>
      <w:tr>
        <w:tc>
          <w:tcPr>
            <w:tcW w:type="dxa" w:w="7920"/>
            <w:shd w:fill="F5F7FA" w:color="auto" w:val="clear"/>
            <w:tcMar>
              <w:top w:type="dxa" w:w="70"/>
              <w:left w:type="dxa" w:w="110"/>
              <w:bottom w:type="dxa" w:w="70"/>
              <w:right w:type="dxa" w:w="110"/>
            </w:tcMar>
          </w:tcPr>
          <w:p>
            <w:pPr>
              <w:spacing w:after="0" w:line="260"/>
            </w:pPr>
            <w:r>
              <w:rPr>
                <w:sz w:val="20"/>
                <w:szCs w:val="20"/>
              </w:rPr>
              <w:t xml:space="preserve">Edit the document when saved as /safety/compliance</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12</w:t>
            </w:r>
          </w:p>
        </w:tc>
      </w:tr>
      <w:tr>
        <w:tc>
          <w:tcPr>
            <w:tcW w:type="dxa" w:w="7920"/>
            <w:tcMar>
              <w:top w:type="dxa" w:w="70"/>
              <w:left w:type="dxa" w:w="110"/>
              <w:bottom w:type="dxa" w:w="70"/>
              <w:right w:type="dxa" w:w="110"/>
            </w:tcMar>
          </w:tcPr>
          <w:p>
            <w:pPr>
              <w:spacing w:after="0" w:line="260"/>
            </w:pPr>
            <w:r>
              <w:rPr>
                <w:sz w:val="20"/>
                <w:szCs w:val="20"/>
              </w:rPr>
              <w:t xml:space="preserve">Cars In Hangar</w:t>
            </w:r>
          </w:p>
        </w:tc>
        <w:tc>
          <w:tcPr>
            <w:tcW w:type="dxa" w:w="1440"/>
            <w:tcMar>
              <w:top w:type="dxa" w:w="70"/>
              <w:left w:type="dxa" w:w="110"/>
              <w:bottom w:type="dxa" w:w="70"/>
              <w:right w:type="dxa" w:w="110"/>
            </w:tcMar>
          </w:tcPr>
          <w:p>
            <w:pPr>
              <w:spacing w:after="0" w:line="260"/>
              <w:jc w:val="right"/>
            </w:pPr>
            <w:r>
              <w:rPr>
                <w:sz w:val="20"/>
                <w:szCs w:val="20"/>
              </w:rPr>
              <w:t xml:space="preserve">6</w:t>
            </w:r>
          </w:p>
        </w:tc>
      </w:tr>
      <w:tr>
        <w:tc>
          <w:tcPr>
            <w:tcW w:type="dxa" w:w="7920"/>
            <w:shd w:fill="F5F7FA" w:color="auto" w:val="clear"/>
            <w:tcMar>
              <w:top w:type="dxa" w:w="70"/>
              <w:left w:type="dxa" w:w="110"/>
              <w:bottom w:type="dxa" w:w="70"/>
              <w:right w:type="dxa" w:w="110"/>
            </w:tcMar>
          </w:tcPr>
          <w:p>
            <w:pPr>
              <w:spacing w:after="0" w:line="260"/>
            </w:pPr>
            <w:r>
              <w:rPr>
                <w:sz w:val="20"/>
                <w:szCs w:val="20"/>
              </w:rPr>
              <w:t xml:space="preserve">Batch of Tweaks</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6</w:t>
            </w:r>
          </w:p>
        </w:tc>
      </w:tr>
      <w:tr>
        <w:tc>
          <w:tcPr>
            <w:tcW w:type="dxa" w:w="7920"/>
            <w:tcMar>
              <w:top w:type="dxa" w:w="70"/>
              <w:left w:type="dxa" w:w="110"/>
              <w:bottom w:type="dxa" w:w="70"/>
              <w:right w:type="dxa" w:w="110"/>
            </w:tcMar>
          </w:tcPr>
          <w:p>
            <w:pPr>
              <w:spacing w:after="0" w:line="260"/>
            </w:pPr>
            <w:r>
              <w:rPr>
                <w:sz w:val="20"/>
                <w:szCs w:val="20"/>
              </w:rPr>
              <w:t xml:space="preserve">Fleet Status</w:t>
            </w:r>
          </w:p>
        </w:tc>
        <w:tc>
          <w:tcPr>
            <w:tcW w:type="dxa" w:w="1440"/>
            <w:tcMar>
              <w:top w:type="dxa" w:w="70"/>
              <w:left w:type="dxa" w:w="110"/>
              <w:bottom w:type="dxa" w:w="70"/>
              <w:right w:type="dxa" w:w="110"/>
            </w:tcMar>
          </w:tcPr>
          <w:p>
            <w:pPr>
              <w:spacing w:after="0" w:line="260"/>
              <w:jc w:val="right"/>
            </w:pPr>
            <w:r>
              <w:rPr>
                <w:sz w:val="20"/>
                <w:szCs w:val="20"/>
              </w:rPr>
              <w:t xml:space="preserve">4</w:t>
            </w:r>
          </w:p>
        </w:tc>
      </w:tr>
      <w:tr>
        <w:tc>
          <w:tcPr>
            <w:tcW w:type="dxa" w:w="7920"/>
            <w:shd w:fill="F5F7FA" w:color="auto" w:val="clear"/>
            <w:tcMar>
              <w:top w:type="dxa" w:w="70"/>
              <w:left w:type="dxa" w:w="110"/>
              <w:bottom w:type="dxa" w:w="70"/>
              <w:right w:type="dxa" w:w="110"/>
            </w:tcMar>
          </w:tcPr>
          <w:p>
            <w:pPr>
              <w:spacing w:after="0" w:line="260"/>
            </w:pPr>
            <w:r>
              <w:rPr>
                <w:sz w:val="20"/>
                <w:szCs w:val="20"/>
              </w:rPr>
              <w:t xml:space="preserve">Daily operations view — crew button</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4</w:t>
            </w:r>
          </w:p>
        </w:tc>
      </w:tr>
      <w:tr>
        <w:tc>
          <w:tcPr>
            <w:tcW w:type="dxa" w:w="7920"/>
            <w:tcMar>
              <w:top w:type="dxa" w:w="70"/>
              <w:left w:type="dxa" w:w="110"/>
              <w:bottom w:type="dxa" w:w="70"/>
              <w:right w:type="dxa" w:w="110"/>
            </w:tcMar>
          </w:tcPr>
          <w:p>
            <w:pPr>
              <w:spacing w:after="0" w:line="260"/>
            </w:pPr>
            <w:r>
              <w:rPr>
                <w:sz w:val="20"/>
                <w:szCs w:val="20"/>
              </w:rPr>
              <w:t xml:space="preserve">Tracking and Data</w:t>
            </w:r>
          </w:p>
        </w:tc>
        <w:tc>
          <w:tcPr>
            <w:tcW w:type="dxa" w:w="1440"/>
            <w:tcMar>
              <w:top w:type="dxa" w:w="70"/>
              <w:left w:type="dxa" w:w="110"/>
              <w:bottom w:type="dxa" w:w="70"/>
              <w:right w:type="dxa" w:w="110"/>
            </w:tcMar>
          </w:tcPr>
          <w:p>
            <w:pPr>
              <w:spacing w:after="0" w:line="260"/>
              <w:jc w:val="right"/>
            </w:pPr>
            <w:r>
              <w:rPr>
                <w:sz w:val="20"/>
                <w:szCs w:val="20"/>
              </w:rPr>
              <w:t xml:space="preserve">TBD</w:t>
            </w:r>
          </w:p>
        </w:tc>
      </w:tr>
      <w:tr>
        <w:tc>
          <w:tcPr>
            <w:tcW w:type="dxa" w:w="7920"/>
            <w:shd w:fill="E8EDF5" w:color="auto" w:val="clear"/>
            <w:tcMar>
              <w:top w:type="dxa" w:w="70"/>
              <w:left w:type="dxa" w:w="110"/>
              <w:bottom w:type="dxa" w:w="70"/>
              <w:right w:type="dxa" w:w="110"/>
            </w:tcMar>
          </w:tcPr>
          <w:p>
            <w:pPr>
              <w:spacing w:after="0" w:line="260"/>
            </w:pPr>
            <w:r>
              <w:rPr>
                <w:b/>
                <w:bCs/>
                <w:sz w:val="20"/>
                <w:szCs w:val="20"/>
              </w:rPr>
              <w:t xml:space="preserve">Total</w:t>
            </w:r>
          </w:p>
        </w:tc>
        <w:tc>
          <w:tcPr>
            <w:tcW w:type="dxa" w:w="1440"/>
            <w:shd w:fill="E8EDF5" w:color="auto" w:val="clear"/>
            <w:tcMar>
              <w:top w:type="dxa" w:w="70"/>
              <w:left w:type="dxa" w:w="110"/>
              <w:bottom w:type="dxa" w:w="70"/>
              <w:right w:type="dxa" w:w="110"/>
            </w:tcMar>
          </w:tcPr>
          <w:p>
            <w:pPr>
              <w:spacing w:after="0" w:line="260"/>
              <w:jc w:val="right"/>
            </w:pPr>
            <w:r>
              <w:rPr>
                <w:b/>
                <w:bCs/>
                <w:sz w:val="20"/>
                <w:szCs w:val="20"/>
              </w:rPr>
              <w:t xml:space="preserve">629</w:t>
            </w:r>
          </w:p>
        </w:tc>
      </w:tr>
    </w:tbl>
    <w:p>
      <w:pPr>
        <w:spacing w:after="160"/>
      </w:pPr>
      <w:r>
        <w:rPr>
          <w:sz w:val="2"/>
          <w:szCs w:val="2"/>
        </w:rPr>
        <w:t xml:space="preserve"/>
      </w:r>
    </w:p>
    <w:p>
      <w:pPr>
        <w:spacing w:after="140" w:line="276"/>
      </w:pPr>
      <w:r>
        <w:rPr>
          <w:sz w:val="21"/>
          <w:szCs w:val="21"/>
        </w:rPr>
        <w:t xml:space="preserve">Two of these we’d like to handle differently rather than simply defer — see items 5.4 and 5.5.</w:t>
      </w:r>
    </w:p>
    <w:p>
      <w:pPr>
        <w:pStyle w:val="Heading1"/>
        <w:spacing w:after="160" w:before="340"/>
      </w:pPr>
      <w:r>
        <w:rPr>
          <w:b/>
          <w:bCs/>
          <w:color w:val="1F3864"/>
          <w:sz w:val="28"/>
          <w:szCs w:val="28"/>
        </w:rPr>
        <w:t xml:space="preserve">5.  Items to clarify or correct before PO</w:t>
      </w:r>
    </w:p>
    <w:p>
      <w:pPr>
        <w:pStyle w:val="Heading2"/>
        <w:spacing w:after="120" w:before="260"/>
      </w:pPr>
      <w:r>
        <w:rPr>
          <w:b/>
          <w:bCs/>
          <w:color w:val="1F3864"/>
          <w:sz w:val="23"/>
          <w:szCs w:val="23"/>
        </w:rPr>
        <w:t xml:space="preserve">5.1  Rate confirmation at reduced volume</w:t>
      </w:r>
    </w:p>
    <w:p>
      <w:pPr>
        <w:spacing w:after="140" w:line="276"/>
      </w:pPr>
      <w:r>
        <w:rPr>
          <w:sz w:val="21"/>
          <w:szCs w:val="21"/>
        </w:rPr>
        <w:t xml:space="preserve">The quote prices 1,142 hours at a discounted $85/hr against a standard rate of $90. This proposal is under half that volume. Please confirm $85/hr still applies at ~513 hours.</w:t>
      </w:r>
    </w:p>
    <w:p>
      <w:pPr>
        <w:spacing w:after="140" w:line="276"/>
      </w:pPr>
      <w:r>
        <w:rPr>
          <w:sz w:val="21"/>
          <w:szCs w:val="21"/>
        </w:rPr>
        <w:t xml:space="preserve">This materially changes the decision: at $90/hr, 513 hours is $46,170, which is outside the budget and would require cutting further. We’d rather know now than after scope is locked.</w:t>
      </w:r>
    </w:p>
    <w:p>
      <w:pPr>
        <w:pStyle w:val="Heading2"/>
        <w:spacing w:after="120" w:before="260"/>
      </w:pPr>
      <w:r>
        <w:rPr>
          <w:b/>
          <w:bCs/>
          <w:color w:val="1F3864"/>
          <w:sz w:val="23"/>
          <w:szCs w:val="23"/>
        </w:rPr>
        <w:t xml:space="preserve">5.2  Correct the hour totals</w:t>
      </w:r>
    </w:p>
    <w:p>
      <w:pPr>
        <w:spacing w:after="140" w:line="276"/>
      </w:pPr>
      <w:r>
        <w:rPr>
          <w:sz w:val="21"/>
          <w:szCs w:val="21"/>
        </w:rPr>
        <w:t xml:space="preserve">The itemized rows sum to 1,142, not the 1,150 shown. Separately, the “Estimated Total Dev HRs 985” figure appears to be a subtotal from the 07/10 version that wasn’t updated in the 07/27 revision. Please reissue with corrected arithmetic.</w:t>
      </w:r>
    </w:p>
    <w:p>
      <w:pPr>
        <w:pStyle w:val="Heading2"/>
        <w:spacing w:after="120" w:before="260"/>
      </w:pPr>
      <w:r>
        <w:rPr>
          <w:b/>
          <w:bCs/>
          <w:color w:val="1F3864"/>
          <w:sz w:val="23"/>
          <w:szCs w:val="23"/>
        </w:rPr>
        <w:t xml:space="preserve">5.3  Remove “Tracking and Data (TBD)”</w:t>
      </w:r>
    </w:p>
    <w:p>
      <w:pPr>
        <w:spacing w:after="140" w:line="276"/>
      </w:pPr>
      <w:r>
        <w:rPr>
          <w:sz w:val="21"/>
          <w:szCs w:val="21"/>
        </w:rPr>
        <w:t xml:space="preserve">The scope narrative commits to an “Operational Data Tracking &amp; Analytics Framework,” but the line item is unpriced. An unpriced deliverable inside a fixed bid isn’t something we can put on a PO. Please either price it or remove it from scope — we’re assuming removed.</w:t>
      </w:r>
    </w:p>
    <w:p>
      <w:pPr>
        <w:pStyle w:val="Heading2"/>
        <w:spacing w:after="120" w:before="260"/>
      </w:pPr>
      <w:r>
        <w:rPr>
          <w:b/>
          <w:bCs/>
          <w:color w:val="1F3864"/>
          <w:sz w:val="23"/>
          <w:szCs w:val="23"/>
        </w:rPr>
        <w:t xml:space="preserve">5.4  myAirOps deleted trip legs (16 hrs) — warranty or new scope?</w:t>
      </w:r>
    </w:p>
    <w:p>
      <w:pPr>
        <w:spacing w:after="140" w:line="276"/>
      </w:pPr>
      <w:r>
        <w:rPr>
          <w:sz w:val="21"/>
          <w:szCs w:val="21"/>
        </w:rPr>
        <w:t xml:space="preserve">The note reads “we’re working on a solution to handle these removals correctly.” If this is a defect in the system already in production, we’d expect it under warranty or the support agreement rather than as new Phase 2 scope. Please confirm which.</w:t>
      </w:r>
    </w:p>
    <w:p>
      <w:pPr>
        <w:spacing w:after="140" w:line="276"/>
      </w:pPr>
      <w:r>
        <w:rPr>
          <w:sz w:val="21"/>
          <w:szCs w:val="21"/>
        </w:rPr>
        <w:t xml:space="preserve">Substantively this is our highest-priority correctness issue — deleted legs remaining visible means crew and catering get planned against flights that don’t exist. We want it fixed promptly regardless of which bucket it lands in.</w:t>
      </w:r>
    </w:p>
    <w:p>
      <w:pPr>
        <w:pStyle w:val="Heading2"/>
        <w:spacing w:after="120" w:before="260"/>
      </w:pPr>
      <w:r>
        <w:rPr>
          <w:b/>
          <w:bCs/>
          <w:color w:val="1F3864"/>
          <w:sz w:val="23"/>
          <w:szCs w:val="23"/>
        </w:rPr>
        <w:t xml:space="preserve">5.5  “Batch of Tweaks” (6 hrs)</w:t>
      </w:r>
    </w:p>
    <w:p>
      <w:pPr>
        <w:spacing w:after="140" w:line="276"/>
      </w:pPr>
      <w:r>
        <w:rPr>
          <w:sz w:val="21"/>
          <w:szCs w:val="21"/>
        </w:rPr>
        <w:t xml:space="preserve">We can’t accept an unnamed line item on a PO — there’s no way to define completion. Please either itemize what’s in it, or drop it and let those changes flow through the monthly support bucket, which is the right home for undefined work.</w:t>
      </w:r>
    </w:p>
    <w:p>
      <w:pPr>
        <w:pStyle w:val="Heading2"/>
        <w:spacing w:after="120" w:before="260"/>
      </w:pPr>
      <w:r>
        <w:rPr>
          <w:b/>
          <w:bCs/>
          <w:color w:val="1F3864"/>
          <w:sz w:val="23"/>
          <w:szCs w:val="23"/>
        </w:rPr>
        <w:t xml:space="preserve">5.6  CAMP integration hours</w:t>
      </w:r>
    </w:p>
    <w:p>
      <w:pPr>
        <w:spacing w:after="140" w:line="276"/>
      </w:pPr>
      <w:r>
        <w:rPr>
          <w:sz w:val="21"/>
          <w:szCs w:val="21"/>
        </w:rPr>
        <w:t xml:space="preserve">The scope narrative commits to connecting CAMP, but no line item carries CAMP hours, and section 2.3 above identifies live CAMP transport as part of the Tech Log build. Please make the CAMP scope and its hours explicit rather than implicit.</w:t>
      </w:r>
    </w:p>
    <w:p>
      <w:pPr>
        <w:spacing w:after="140" w:line="276"/>
      </w:pPr>
      <w:r>
        <w:rPr>
          <w:sz w:val="21"/>
          <w:szCs w:val="21"/>
        </w:rPr>
        <w:t xml:space="preserve">Separately: is the CAMP utilization-push operation confirmed? Our reference notes it as undocumented. If it’s settled in the current integration, we’d like to record that; if not, it should stay out of scope until it is.</w:t>
      </w:r>
    </w:p>
    <w:p>
      <w:pPr>
        <w:pStyle w:val="Heading2"/>
        <w:spacing w:after="120" w:before="260"/>
      </w:pPr>
      <w:r>
        <w:rPr>
          <w:b/>
          <w:bCs/>
          <w:color w:val="1F3864"/>
          <w:sz w:val="23"/>
          <w:szCs w:val="23"/>
        </w:rPr>
        <w:t xml:space="preserve">5.7  Crew Workload enhancements (12 hrs)</w:t>
      </w:r>
    </w:p>
    <w:p>
      <w:pPr>
        <w:spacing w:after="140" w:line="276"/>
      </w:pPr>
      <w:r>
        <w:rPr>
          <w:sz w:val="21"/>
          <w:szCs w:val="21"/>
        </w:rPr>
        <w:t xml:space="preserve">“Enhancements” isn’t defined anywhere in the quote. Please specify what’s included so we can confirm the estimate.</w:t>
      </w:r>
    </w:p>
    <w:p>
      <w:pPr>
        <w:pStyle w:val="Heading2"/>
        <w:spacing w:after="120" w:before="260"/>
      </w:pPr>
      <w:r>
        <w:rPr>
          <w:b/>
          <w:bCs/>
          <w:color w:val="1F3864"/>
          <w:sz w:val="23"/>
          <w:szCs w:val="23"/>
        </w:rPr>
        <w:t xml:space="preserve">5.8  Passenger Profile — myAirOps field mapping</w:t>
      </w:r>
    </w:p>
    <w:p>
      <w:pPr>
        <w:spacing w:after="140" w:line="276"/>
      </w:pPr>
      <w:r>
        <w:rPr>
          <w:sz w:val="21"/>
          <w:szCs w:val="21"/>
        </w:rPr>
        <w:t xml:space="preserve">The 32 hrs appears reasonable for the interface work. It assumes the myAirOps entity and field mapping for allergies, preferences, and service notes is already known. If that mapping still needs to be established, please price the discovery separately.</w:t>
      </w:r>
    </w:p>
    <w:p>
      <w:pPr>
        <w:pStyle w:val="Heading2"/>
        <w:spacing w:after="120" w:before="260"/>
      </w:pPr>
      <w:r>
        <w:rPr>
          <w:b/>
          <w:bCs/>
          <w:color w:val="1F3864"/>
          <w:sz w:val="23"/>
          <w:szCs w:val="23"/>
        </w:rPr>
        <w:t xml:space="preserve">5.9  Flight Attendant dashboard vs. Flight Calendar</w:t>
      </w:r>
    </w:p>
    <w:p>
      <w:pPr>
        <w:spacing w:after="140" w:line="276"/>
      </w:pPr>
      <w:r>
        <w:rPr>
          <w:sz w:val="21"/>
          <w:szCs w:val="21"/>
        </w:rPr>
        <w:t xml:space="preserve">Not in this phase’s scope, but relevant to how the deferred items get priced later. The quote lists these as two items — “FA Upcoming Flights Dashboard” (32 hrs, noted against /catering-tracker) and “Flight Calendar” (36 hrs, noted against /upcoming-flights).</w:t>
      </w:r>
    </w:p>
    <w:p>
      <w:pPr>
        <w:spacing w:after="140" w:line="276"/>
      </w:pPr>
      <w:r>
        <w:rPr>
          <w:sz w:val="21"/>
          <w:szCs w:val="21"/>
        </w:rPr>
        <w:t xml:space="preserve">In the build we’re providing, these are the same route and the same component, rendered with a different label and column set per role — “Upcoming Trips” for flight attendants, “Flight Calendar” for pilots. If that’s also the plan for the production build, the pair should cost less together than 68 hrs. Worth reconciling before the next phase is quoted.</w:t>
      </w:r>
    </w:p>
    <w:p>
      <w:pPr>
        <w:pStyle w:val="Heading2"/>
        <w:spacing w:after="120" w:before="260"/>
      </w:pPr>
      <w:r>
        <w:rPr>
          <w:b/>
          <w:bCs/>
          <w:color w:val="1F3864"/>
          <w:sz w:val="23"/>
          <w:szCs w:val="23"/>
        </w:rPr>
        <w:t xml:space="preserve">5.10  Vacation request — one item or two?</w:t>
      </w:r>
    </w:p>
    <w:p>
      <w:pPr>
        <w:spacing w:after="140" w:line="276"/>
      </w:pPr>
      <w:r>
        <w:rPr>
          <w:sz w:val="21"/>
          <w:szCs w:val="21"/>
        </w:rPr>
        <w:t xml:space="preserve">We may have two separate needs here: fixes to the existing vacation request flow, and adding vacation request capability for the scheduling role. The quote carries one line at 12 hrs for the scheduling role. If fixes to the existing flow are also needed, please price them separately.</w:t>
      </w:r>
    </w:p>
    <w:p>
      <w:pPr>
        <w:pStyle w:val="Heading2"/>
        <w:spacing w:after="120" w:before="260"/>
      </w:pPr>
      <w:r>
        <w:rPr>
          <w:b/>
          <w:bCs/>
          <w:color w:val="1F3864"/>
          <w:sz w:val="23"/>
          <w:szCs w:val="23"/>
        </w:rPr>
        <w:t xml:space="preserve">5.11  Payment milestones</w:t>
      </w:r>
    </w:p>
    <w:p>
      <w:pPr>
        <w:spacing w:after="140" w:line="276"/>
      </w:pPr>
      <w:r>
        <w:rPr>
          <w:sz w:val="21"/>
          <w:szCs w:val="21"/>
        </w:rPr>
        <w:t xml:space="preserve">The payment terms reference “completion of work deliverables within specified deliverable section above,” but the SOW doesn’t contain a deliverables or milestone section. Please add a milestone schedule with acceptance criteria that monthly invoicing can key against.</w:t>
      </w:r>
    </w:p>
    <w:p>
      <w:pPr>
        <w:pStyle w:val="Heading1"/>
        <w:spacing w:after="160" w:before="340"/>
      </w:pPr>
      <w:r>
        <w:rPr>
          <w:b/>
          <w:bCs/>
          <w:color w:val="1F3864"/>
          <w:sz w:val="28"/>
          <w:szCs w:val="28"/>
        </w:rPr>
        <w:t xml:space="preserve">6.  Contract items (handled separately with P&amp;G Purchases)</w:t>
      </w:r>
    </w:p>
    <w:p>
      <w:pPr>
        <w:spacing w:after="140" w:line="276"/>
      </w:pPr>
      <w:r>
        <w:rPr>
          <w:sz w:val="21"/>
          <w:szCs w:val="21"/>
        </w:rPr>
        <w:t xml:space="preserve">These aren’t scope questions and don’t need a response in the revised quote — our purchasing and legal group will work them through the standard PO process. Listing them here so nothing is a surprise:</w:t>
      </w:r>
    </w:p>
    <w:p>
      <w:pPr>
        <w:pStyle w:val="ListParagraph"/>
        <w:numPr>
          <w:ilvl w:val="0"/>
          <w:numId w:val="3"/>
        </w:numPr>
        <w:spacing w:after="110" w:line="276"/>
      </w:pPr>
      <w:r>
        <w:rPr>
          <w:b/>
          <w:bCs/>
          <w:sz w:val="21"/>
          <w:szCs w:val="21"/>
        </w:rPr>
        <w:t xml:space="preserve">Intellectual property. </w:t>
      </w:r>
      <w:r>
        <w:rPr>
          <w:sz w:val="21"/>
          <w:szCs w:val="21"/>
        </w:rPr>
        <w:t xml:space="preserve">The SOW doesn’t contain a work-for-hire or IP assignment clause. Combined with the Integration clause (“supersedes all previous understandings and agreements”), it isn’t clear who owns the delivered code. This needs to be explicit.</w:t>
      </w:r>
    </w:p>
    <w:p>
      <w:pPr>
        <w:pStyle w:val="ListParagraph"/>
        <w:numPr>
          <w:ilvl w:val="0"/>
          <w:numId w:val="3"/>
        </w:numPr>
        <w:spacing w:after="110" w:line="276"/>
      </w:pPr>
      <w:r>
        <w:rPr>
          <w:b/>
          <w:bCs/>
          <w:sz w:val="21"/>
          <w:szCs w:val="21"/>
        </w:rPr>
        <w:t xml:space="preserve">Order of precedence. </w:t>
      </w:r>
      <w:r>
        <w:rPr>
          <w:sz w:val="21"/>
          <w:szCs w:val="21"/>
        </w:rPr>
        <w:t xml:space="preserve">The SOW specifies Ohio law, Cincinnati venue, and AAA arbitration, and also states twice that it is governed by the P&amp;G PO Terms and Conditions. Those will conflict. We need a precedence clause.</w:t>
      </w:r>
    </w:p>
    <w:p>
      <w:pPr>
        <w:pStyle w:val="ListParagraph"/>
        <w:numPr>
          <w:ilvl w:val="0"/>
          <w:numId w:val="3"/>
        </w:numPr>
        <w:spacing w:after="110" w:line="276"/>
      </w:pPr>
      <w:r>
        <w:rPr>
          <w:b/>
          <w:bCs/>
          <w:sz w:val="21"/>
          <w:szCs w:val="21"/>
        </w:rPr>
        <w:t xml:space="preserve">Warranty period typo. </w:t>
      </w:r>
      <w:r>
        <w:rPr>
          <w:sz w:val="21"/>
          <w:szCs w:val="21"/>
        </w:rPr>
        <w:t xml:space="preserve">Section 1(a) reads “a period of thirty (90) days” — the words and the numeral disagree. Since this is the sole-and-exclusive-remedy clause, it needs to be unambiguous. We’d also like the period to run from production go-live rather than delivery of services.</w:t>
      </w:r>
    </w:p>
    <w:p>
      <w:pPr>
        <w:pStyle w:val="ListParagraph"/>
        <w:numPr>
          <w:ilvl w:val="0"/>
          <w:numId w:val="3"/>
        </w:numPr>
        <w:spacing w:after="110" w:line="276"/>
      </w:pPr>
      <w:r>
        <w:rPr>
          <w:b/>
          <w:bCs/>
          <w:sz w:val="21"/>
          <w:szCs w:val="21"/>
        </w:rPr>
        <w:t xml:space="preserve">Data protection. </w:t>
      </w:r>
      <w:r>
        <w:rPr>
          <w:sz w:val="21"/>
          <w:szCs w:val="21"/>
        </w:rPr>
        <w:t xml:space="preserve">The application handles passenger information including dietary and allergy data, service notes, photographs, and executive travel patterns. A data protection addendum should accompany the PO.</w:t>
      </w:r>
    </w:p>
    <w:p>
      <w:pPr>
        <w:pStyle w:val="Heading1"/>
        <w:spacing w:after="160" w:before="340"/>
      </w:pPr>
      <w:r>
        <w:rPr>
          <w:b/>
          <w:bCs/>
          <w:color w:val="1F3864"/>
          <w:sz w:val="28"/>
          <w:szCs w:val="28"/>
        </w:rPr>
        <w:t xml:space="preserve">7.  Assumptions</w:t>
      </w:r>
    </w:p>
    <w:p>
      <w:pPr>
        <w:pStyle w:val="ListParagraph"/>
        <w:numPr>
          <w:ilvl w:val="0"/>
          <w:numId w:val="2"/>
        </w:numPr>
        <w:spacing w:after="80" w:line="276"/>
      </w:pPr>
      <w:r>
        <w:rPr>
          <w:sz w:val="21"/>
          <w:szCs w:val="21"/>
        </w:rPr>
        <w:t xml:space="preserve">Pricing assumes $85/hr holds at reduced volume (see item 1). All figures above use $85.</w:t>
      </w:r>
    </w:p>
    <w:p>
      <w:pPr>
        <w:pStyle w:val="ListParagraph"/>
        <w:numPr>
          <w:ilvl w:val="0"/>
          <w:numId w:val="2"/>
        </w:numPr>
        <w:spacing w:after="80" w:line="276"/>
      </w:pPr>
      <w:r>
        <w:rPr>
          <w:sz w:val="21"/>
          <w:szCs w:val="21"/>
        </w:rPr>
        <w:t xml:space="preserve">The Tech Log module, its rule engines, and its test suite are provided by us as the starting point for the production build, along with the acceptance artifacts in section 3.</w:t>
      </w:r>
    </w:p>
    <w:p>
      <w:pPr>
        <w:pStyle w:val="ListParagraph"/>
        <w:numPr>
          <w:ilvl w:val="0"/>
          <w:numId w:val="2"/>
        </w:numPr>
        <w:spacing w:after="80" w:line="276"/>
      </w:pPr>
      <w:r>
        <w:rPr>
          <w:sz w:val="21"/>
          <w:szCs w:val="21"/>
        </w:rPr>
        <w:t xml:space="preserve">Timeline: we’d expect a shorter schedule than the 10–12 weeks quoted for full scope, but we recognize project coordination, governance support, and UAT don’t scale down proportionally. Please propose a revised timeline alongside the revised quote, and show fixed project overhead as a separate line rather than distributed across feature items.</w:t>
      </w:r>
    </w:p>
    <w:p>
      <w:pPr>
        <w:pStyle w:val="ListParagraph"/>
        <w:numPr>
          <w:ilvl w:val="0"/>
          <w:numId w:val="2"/>
        </w:numPr>
        <w:spacing w:after="80" w:line="276"/>
      </w:pPr>
      <w:r>
        <w:rPr>
          <w:sz w:val="21"/>
          <w:szCs w:val="21"/>
        </w:rPr>
        <w:t xml:space="preserve">Training, ongoing support, hosting, and cloud consumption remain excluded per the original quote. We’ll address support separately — Option 1 (flat monthly) is our likely preference.</w:t>
      </w:r>
    </w:p>
    <w:p>
      <w:pPr>
        <w:pStyle w:val="Heading1"/>
        <w:spacing w:after="160" w:before="340"/>
      </w:pPr>
      <w:r>
        <w:rPr>
          <w:b/>
          <w:bCs/>
          <w:color w:val="1F3864"/>
          <w:sz w:val="28"/>
          <w:szCs w:val="28"/>
        </w:rPr>
        <w:t xml:space="preserve">8.  Requested next step</w:t>
      </w:r>
    </w:p>
    <w:p>
      <w:pPr>
        <w:spacing w:after="140" w:line="276"/>
      </w:pPr>
      <w:r>
        <w:rPr>
          <w:sz w:val="21"/>
          <w:szCs w:val="21"/>
        </w:rPr>
        <w:t xml:space="preserve">A revised quote reflecting the 513-hour scope, with the Tech Log broken into sub-items per section 2 and the rate confirmed per section 1. Happy to get on a call to walk through any of this if that’s faster.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abstractNum w:abstractNumId="3" w15:restartNumberingAfterBreak="0">
    <w:multiLevelType w:val="hybridMultilevel"/>
    <w:lvl w:ilvl="0" w15:tentative="1">
      <w:start w:val="1"/>
      <w:numFmt w:val="decimal"/>
      <w:lvlText w:val="%1."/>
      <w:lvlJc w:val="left"/>
      <w:pPr>
        <w:ind w:left="52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2026-07-28T00:16:01.583Z</dcterms:created>
  <dcterms:modified xsi:type="dcterms:W3CDTF">2026-07-28T00:16:01.583Z</dcterms:modified>
</cp:coreProperties>
</file>

<file path=docProps/custom.xml><?xml version="1.0" encoding="utf-8"?>
<Properties xmlns="http://schemas.openxmlformats.org/officeDocument/2006/custom-properties" xmlns:vt="http://schemas.openxmlformats.org/officeDocument/2006/docPropsVTypes"/>
</file>