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GFO Pilots Phase 2</w:t>
      </w:r>
    </w:p>
    <w:p>
      <w:pPr>
        <w:spacing w:after="200"/>
      </w:pPr>
      <w:r>
        <w:rPr>
          <w:color w:val="444444"/>
          <w:sz w:val="28"/>
          <w:szCs w:val="28"/>
        </w:rPr>
        <w:t xml:space="preserve">Scope Reduction Request</w:t>
      </w:r>
    </w:p>
    <w:p>
      <w:pPr>
        <w:pBdr>
          <w:bottom w:val="single" w:color="BFBFBF" w:sz="6" w:space="1"/>
        </w:pBdr>
        <w:spacing w:after="200" w:before="100"/>
      </w:pPr>
      <w:r>
        <w:rPr>
          <w:sz w:val="2"/>
          <w:szCs w:val="2"/>
        </w:rPr>
        <w:t xml:space="preserve"/>
      </w:r>
    </w:p>
    <w:p>
      <w:pPr>
        <w:spacing w:after="60" w:line="276"/>
      </w:pPr>
      <w:r>
        <w:rPr>
          <w:b/>
          <w:bCs/>
          <w:sz w:val="21"/>
          <w:szCs w:val="21"/>
        </w:rPr>
        <w:t xml:space="preserve">Re:  </w:t>
      </w:r>
      <w:r>
        <w:rPr>
          <w:sz w:val="21"/>
          <w:szCs w:val="21"/>
        </w:rPr>
        <w:t xml:space="preserve">Quote PG-CD-0726-516, dated 07/10/2026, revised 07/27/2026</w:t>
      </w:r>
    </w:p>
    <w:p>
      <w:pPr>
        <w:spacing w:after="60" w:line="276"/>
      </w:pPr>
      <w:r>
        <w:rPr>
          <w:b/>
          <w:bCs/>
          <w:sz w:val="21"/>
          <w:szCs w:val="21"/>
        </w:rPr>
        <w:t xml:space="preserve">To:  </w:t>
      </w:r>
      <w:r>
        <w:rPr>
          <w:sz w:val="21"/>
          <w:szCs w:val="21"/>
        </w:rPr>
        <w:t xml:space="preserve">Robert Feltner, Mike Sliper — Creative Elements Group</w:t>
      </w:r>
    </w:p>
    <w:p>
      <w:pPr>
        <w:spacing w:after="200" w:line="276"/>
      </w:pPr>
      <w:r>
        <w:rPr>
          <w:b/>
          <w:bCs/>
          <w:sz w:val="21"/>
          <w:szCs w:val="21"/>
        </w:rPr>
        <w:t xml:space="preserve">From:  </w:t>
      </w:r>
      <w:r>
        <w:rPr>
          <w:sz w:val="21"/>
          <w:szCs w:val="21"/>
        </w:rPr>
        <w:t xml:space="preserve">Bryan Dunlop, P&amp;G Global Flight Operations</w:t>
      </w:r>
    </w:p>
    <w:p>
      <w:pPr>
        <w:pBdr>
          <w:bottom w:val="single" w:color="BFBFBF" w:sz="6" w:space="1"/>
        </w:pBdr>
        <w:spacing w:after="200" w:before="100"/>
      </w:pPr>
      <w:r>
        <w:rPr>
          <w:sz w:val="2"/>
          <w:szCs w:val="2"/>
        </w:rPr>
        <w:t xml:space="preserve"/>
      </w:r>
    </w:p>
    <w:p>
      <w:pPr>
        <w:pStyle w:val="Heading1"/>
        <w:spacing w:after="160" w:before="340"/>
      </w:pPr>
      <w:r>
        <w:rPr>
          <w:b/>
          <w:bCs/>
          <w:color w:val="1F3864"/>
          <w:sz w:val="28"/>
          <w:szCs w:val="28"/>
        </w:rPr>
        <w:t xml:space="preserve">Summary</w:t>
      </w:r>
    </w:p>
    <w:p>
      <w:pPr>
        <w:spacing w:after="140" w:line="276"/>
      </w:pPr>
      <w:r>
        <w:rPr>
          <w:sz w:val="21"/>
          <w:szCs w:val="21"/>
        </w:rPr>
        <w:t xml:space="preserve">We’d like to proceed with Phase 2 at a reduced scope. The full quote (1,142 hrs / $97,070) is beyond the funding available this cycle. This document proposes a 513-hour scope at $43,605, keeps the Tech Log as the single major module, and defers the remaining 629 hours to a later phase.</w:t>
      </w:r>
    </w:p>
    <w:p>
      <w:pPr>
        <w:spacing w:after="140" w:line="276"/>
      </w:pPr>
      <w:r>
        <w:rPr>
          <w:sz w:val="21"/>
          <w:szCs w:val="21"/>
        </w:rPr>
        <w:t xml:space="preserve">There are also a small number of items in the quote we’d like clarified or corrected before this goes to a PO. Those are listed in the last two sections.</w:t>
      </w:r>
    </w:p>
    <w:p>
      <w:pPr>
        <w:pStyle w:val="Heading1"/>
        <w:spacing w:after="160" w:before="340"/>
      </w:pPr>
      <w:r>
        <w:rPr>
          <w:b/>
          <w:bCs/>
          <w:color w:val="1F3864"/>
          <w:sz w:val="28"/>
          <w:szCs w:val="28"/>
        </w:rPr>
        <w:t xml:space="preserve">Proposed Phase 2 scope — 513 hrs / $43,605</w:t>
      </w:r>
    </w:p>
    <w:tbl>
      <w:tblPr>
        <w:tblW w:type="dxa" w:w="9360"/>
        <w:tblBorders>
          <w:top w:val="single" w:color="BFBFBF" w:sz="4"/>
          <w:left w:val="none" w:color="FFFFFF" w:sz="0"/>
          <w:bottom w:val="single" w:color="BFBFBF" w:sz="4"/>
          <w:right w:val="none" w:color="FFFFFF" w:sz="0"/>
          <w:insideH w:val="single" w:color="DDDDDD" w:sz="2"/>
          <w:insideV w:val="none" w:color="FFFFFF" w:sz="0"/>
        </w:tblBorders>
      </w:tblPr>
      <w:tblGrid>
        <w:gridCol w:w="720"/>
        <w:gridCol w:w="7200"/>
        <w:gridCol w:w="1440"/>
      </w:tblGrid>
      <w:tr>
        <w:trPr>
          <w:tblHeader/>
        </w:trPr>
        <w:tc>
          <w:tcPr>
            <w:tcW w:type="dxa" w:w="720"/>
            <w:shd w:fill="E8EDF5" w:color="auto" w:val="clear"/>
            <w:tcMar>
              <w:top w:type="dxa" w:w="70"/>
              <w:left w:type="dxa" w:w="110"/>
              <w:bottom w:type="dxa" w:w="70"/>
              <w:right w:type="dxa" w:w="110"/>
            </w:tcMar>
          </w:tcPr>
          <w:p>
            <w:pPr>
              <w:spacing w:after="0" w:line="260"/>
            </w:pPr>
            <w:r>
              <w:rPr>
                <w:b/>
                <w:bCs/>
                <w:sz w:val="20"/>
                <w:szCs w:val="20"/>
              </w:rPr>
              <w:t xml:space="preserve">#</w:t>
            </w:r>
          </w:p>
        </w:tc>
        <w:tc>
          <w:tcPr>
            <w:tcW w:type="dxa" w:w="7200"/>
            <w:shd w:fill="E8EDF5" w:color="auto" w:val="clear"/>
            <w:tcMar>
              <w:top w:type="dxa" w:w="70"/>
              <w:left w:type="dxa" w:w="110"/>
              <w:bottom w:type="dxa" w:w="70"/>
              <w:right w:type="dxa" w:w="110"/>
            </w:tcMar>
          </w:tcPr>
          <w:p>
            <w:pPr>
              <w:spacing w:after="0" w:line="260"/>
            </w:pPr>
            <w:r>
              <w:rPr>
                <w:b/>
                <w:bCs/>
                <w:sz w:val="20"/>
                <w:szCs w:val="20"/>
              </w:rPr>
              <w:t xml:space="preserve">Item</w:t>
            </w:r>
          </w:p>
        </w:tc>
        <w:tc>
          <w:tcPr>
            <w:tcW w:type="dxa" w:w="1440"/>
            <w:shd w:fill="E8EDF5" w:color="auto" w:val="clear"/>
            <w:tcMar>
              <w:top w:type="dxa" w:w="70"/>
              <w:left w:type="dxa" w:w="110"/>
              <w:bottom w:type="dxa" w:w="70"/>
              <w:right w:type="dxa" w:w="110"/>
            </w:tcMar>
          </w:tcPr>
          <w:p>
            <w:pPr>
              <w:spacing w:after="0" w:line="260"/>
              <w:jc w:val="right"/>
            </w:pPr>
            <w:r>
              <w:rPr>
                <w:b/>
                <w:bCs/>
                <w:sz w:val="20"/>
                <w:szCs w:val="20"/>
              </w:rPr>
              <w:t xml:space="preserve">Hrs</w:t>
            </w:r>
          </w:p>
        </w:tc>
      </w:tr>
      <w:tr>
        <w:tc>
          <w:tcPr>
            <w:tcW w:type="dxa" w:w="720"/>
            <w:tcMar>
              <w:top w:type="dxa" w:w="70"/>
              <w:left w:type="dxa" w:w="110"/>
              <w:bottom w:type="dxa" w:w="70"/>
              <w:right w:type="dxa" w:w="110"/>
            </w:tcMar>
          </w:tcPr>
          <w:p>
            <w:pPr>
              <w:spacing w:after="0" w:line="260"/>
            </w:pPr>
            <w:r>
              <w:rPr>
                <w:sz w:val="20"/>
                <w:szCs w:val="20"/>
              </w:rPr>
              <w:t xml:space="preserve">1</w:t>
            </w:r>
          </w:p>
        </w:tc>
        <w:tc>
          <w:tcPr>
            <w:tcW w:type="dxa" w:w="7200"/>
            <w:tcMar>
              <w:top w:type="dxa" w:w="70"/>
              <w:left w:type="dxa" w:w="110"/>
              <w:bottom w:type="dxa" w:w="70"/>
              <w:right w:type="dxa" w:w="110"/>
            </w:tcMar>
          </w:tcPr>
          <w:p>
            <w:pPr>
              <w:spacing w:after="0" w:line="260"/>
            </w:pPr>
            <w:r>
              <w:rPr>
                <w:sz w:val="20"/>
                <w:szCs w:val="20"/>
              </w:rPr>
              <w:t xml:space="preserve">Tech Log</w:t>
            </w:r>
          </w:p>
        </w:tc>
        <w:tc>
          <w:tcPr>
            <w:tcW w:type="dxa" w:w="1440"/>
            <w:tcMar>
              <w:top w:type="dxa" w:w="70"/>
              <w:left w:type="dxa" w:w="110"/>
              <w:bottom w:type="dxa" w:w="70"/>
              <w:right w:type="dxa" w:w="110"/>
            </w:tcMar>
          </w:tcPr>
          <w:p>
            <w:pPr>
              <w:spacing w:after="0" w:line="260"/>
              <w:jc w:val="right"/>
            </w:pPr>
            <w:r>
              <w:rPr>
                <w:sz w:val="20"/>
                <w:szCs w:val="20"/>
              </w:rPr>
              <w:t xml:space="preserve">160</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2</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Inventory V2</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120</w:t>
            </w:r>
          </w:p>
        </w:tc>
      </w:tr>
      <w:tr>
        <w:tc>
          <w:tcPr>
            <w:tcW w:type="dxa" w:w="720"/>
            <w:tcMar>
              <w:top w:type="dxa" w:w="70"/>
              <w:left w:type="dxa" w:w="110"/>
              <w:bottom w:type="dxa" w:w="70"/>
              <w:right w:type="dxa" w:w="110"/>
            </w:tcMar>
          </w:tcPr>
          <w:p>
            <w:pPr>
              <w:spacing w:after="0" w:line="260"/>
            </w:pPr>
            <w:r>
              <w:rPr>
                <w:sz w:val="20"/>
                <w:szCs w:val="20"/>
              </w:rPr>
              <w:t xml:space="preserve">3</w:t>
            </w:r>
          </w:p>
        </w:tc>
        <w:tc>
          <w:tcPr>
            <w:tcW w:type="dxa" w:w="7200"/>
            <w:tcMar>
              <w:top w:type="dxa" w:w="70"/>
              <w:left w:type="dxa" w:w="110"/>
              <w:bottom w:type="dxa" w:w="70"/>
              <w:right w:type="dxa" w:w="110"/>
            </w:tcMar>
          </w:tcPr>
          <w:p>
            <w:pPr>
              <w:spacing w:after="0" w:line="260"/>
            </w:pPr>
            <w:r>
              <w:rPr>
                <w:sz w:val="20"/>
                <w:szCs w:val="20"/>
              </w:rPr>
              <w:t xml:space="preserve">Pilot handoff slice (carved from Pilot Preflight Workflow)</w:t>
            </w:r>
          </w:p>
        </w:tc>
        <w:tc>
          <w:tcPr>
            <w:tcW w:type="dxa" w:w="1440"/>
            <w:tcMar>
              <w:top w:type="dxa" w:w="70"/>
              <w:left w:type="dxa" w:w="110"/>
              <w:bottom w:type="dxa" w:w="70"/>
              <w:right w:type="dxa" w:w="110"/>
            </w:tcMar>
          </w:tcPr>
          <w:p>
            <w:pPr>
              <w:spacing w:after="0" w:line="260"/>
              <w:jc w:val="right"/>
            </w:pPr>
            <w:r>
              <w:rPr>
                <w:sz w:val="20"/>
                <w:szCs w:val="20"/>
              </w:rPr>
              <w:t xml:space="preserve">40</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4</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Push Notifications</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40</w:t>
            </w:r>
          </w:p>
        </w:tc>
      </w:tr>
      <w:tr>
        <w:tc>
          <w:tcPr>
            <w:tcW w:type="dxa" w:w="720"/>
            <w:tcMar>
              <w:top w:type="dxa" w:w="70"/>
              <w:left w:type="dxa" w:w="110"/>
              <w:bottom w:type="dxa" w:w="70"/>
              <w:right w:type="dxa" w:w="110"/>
            </w:tcMar>
          </w:tcPr>
          <w:p>
            <w:pPr>
              <w:spacing w:after="0" w:line="260"/>
            </w:pPr>
            <w:r>
              <w:rPr>
                <w:sz w:val="20"/>
                <w:szCs w:val="20"/>
              </w:rPr>
              <w:t xml:space="preserve">5</w:t>
            </w:r>
          </w:p>
        </w:tc>
        <w:tc>
          <w:tcPr>
            <w:tcW w:type="dxa" w:w="7200"/>
            <w:tcMar>
              <w:top w:type="dxa" w:w="70"/>
              <w:left w:type="dxa" w:w="110"/>
              <w:bottom w:type="dxa" w:w="70"/>
              <w:right w:type="dxa" w:w="110"/>
            </w:tcMar>
          </w:tcPr>
          <w:p>
            <w:pPr>
              <w:spacing w:after="0" w:line="260"/>
            </w:pPr>
            <w:r>
              <w:rPr>
                <w:sz w:val="20"/>
                <w:szCs w:val="20"/>
              </w:rPr>
              <w:t xml:space="preserve">Passenger Profile — myAirOps integration</w:t>
            </w:r>
          </w:p>
        </w:tc>
        <w:tc>
          <w:tcPr>
            <w:tcW w:type="dxa" w:w="1440"/>
            <w:tcMar>
              <w:top w:type="dxa" w:w="70"/>
              <w:left w:type="dxa" w:w="110"/>
              <w:bottom w:type="dxa" w:w="70"/>
              <w:right w:type="dxa" w:w="110"/>
            </w:tcMar>
          </w:tcPr>
          <w:p>
            <w:pPr>
              <w:spacing w:after="0" w:line="260"/>
              <w:jc w:val="right"/>
            </w:pPr>
            <w:r>
              <w:rPr>
                <w:sz w:val="20"/>
                <w:szCs w:val="20"/>
              </w:rPr>
              <w:t xml:space="preserve">32</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6</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Procedural Bulletins</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32</w:t>
            </w:r>
          </w:p>
        </w:tc>
      </w:tr>
      <w:tr>
        <w:tc>
          <w:tcPr>
            <w:tcW w:type="dxa" w:w="720"/>
            <w:tcMar>
              <w:top w:type="dxa" w:w="70"/>
              <w:left w:type="dxa" w:w="110"/>
              <w:bottom w:type="dxa" w:w="70"/>
              <w:right w:type="dxa" w:w="110"/>
            </w:tcMar>
          </w:tcPr>
          <w:p>
            <w:pPr>
              <w:spacing w:after="0" w:line="260"/>
            </w:pPr>
            <w:r>
              <w:rPr>
                <w:sz w:val="20"/>
                <w:szCs w:val="20"/>
              </w:rPr>
              <w:t xml:space="preserve">7</w:t>
            </w:r>
          </w:p>
        </w:tc>
        <w:tc>
          <w:tcPr>
            <w:tcW w:type="dxa" w:w="7200"/>
            <w:tcMar>
              <w:top w:type="dxa" w:w="70"/>
              <w:left w:type="dxa" w:w="110"/>
              <w:bottom w:type="dxa" w:w="70"/>
              <w:right w:type="dxa" w:w="110"/>
            </w:tcMar>
          </w:tcPr>
          <w:p>
            <w:pPr>
              <w:spacing w:after="0" w:line="260"/>
            </w:pPr>
            <w:r>
              <w:rPr>
                <w:sz w:val="20"/>
                <w:szCs w:val="20"/>
              </w:rPr>
              <w:t xml:space="preserve">Currency dashboard enhancements</w:t>
            </w:r>
          </w:p>
        </w:tc>
        <w:tc>
          <w:tcPr>
            <w:tcW w:type="dxa" w:w="1440"/>
            <w:tcMar>
              <w:top w:type="dxa" w:w="70"/>
              <w:left w:type="dxa" w:w="110"/>
              <w:bottom w:type="dxa" w:w="70"/>
              <w:right w:type="dxa" w:w="110"/>
            </w:tcMar>
          </w:tcPr>
          <w:p>
            <w:pPr>
              <w:spacing w:after="0" w:line="260"/>
              <w:jc w:val="right"/>
            </w:pPr>
            <w:r>
              <w:rPr>
                <w:sz w:val="20"/>
                <w:szCs w:val="20"/>
              </w:rPr>
              <w:t xml:space="preserve">12</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8</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Crew Workload enhancements</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12</w:t>
            </w:r>
          </w:p>
        </w:tc>
      </w:tr>
      <w:tr>
        <w:tc>
          <w:tcPr>
            <w:tcW w:type="dxa" w:w="720"/>
            <w:tcMar>
              <w:top w:type="dxa" w:w="70"/>
              <w:left w:type="dxa" w:w="110"/>
              <w:bottom w:type="dxa" w:w="70"/>
              <w:right w:type="dxa" w:w="110"/>
            </w:tcMar>
          </w:tcPr>
          <w:p>
            <w:pPr>
              <w:spacing w:after="0" w:line="260"/>
            </w:pPr>
            <w:r>
              <w:rPr>
                <w:sz w:val="20"/>
                <w:szCs w:val="20"/>
              </w:rPr>
              <w:t xml:space="preserve">9</w:t>
            </w:r>
          </w:p>
        </w:tc>
        <w:tc>
          <w:tcPr>
            <w:tcW w:type="dxa" w:w="7200"/>
            <w:tcMar>
              <w:top w:type="dxa" w:w="70"/>
              <w:left w:type="dxa" w:w="110"/>
              <w:bottom w:type="dxa" w:w="70"/>
              <w:right w:type="dxa" w:w="110"/>
            </w:tcMar>
          </w:tcPr>
          <w:p>
            <w:pPr>
              <w:spacing w:after="0" w:line="260"/>
            </w:pPr>
            <w:r>
              <w:rPr>
                <w:sz w:val="20"/>
                <w:szCs w:val="20"/>
              </w:rPr>
              <w:t xml:space="preserve">Vacation request for scheduling role</w:t>
            </w:r>
          </w:p>
        </w:tc>
        <w:tc>
          <w:tcPr>
            <w:tcW w:type="dxa" w:w="1440"/>
            <w:tcMar>
              <w:top w:type="dxa" w:w="70"/>
              <w:left w:type="dxa" w:w="110"/>
              <w:bottom w:type="dxa" w:w="70"/>
              <w:right w:type="dxa" w:w="110"/>
            </w:tcMar>
          </w:tcPr>
          <w:p>
            <w:pPr>
              <w:spacing w:after="0" w:line="260"/>
              <w:jc w:val="right"/>
            </w:pPr>
            <w:r>
              <w:rPr>
                <w:sz w:val="20"/>
                <w:szCs w:val="20"/>
              </w:rPr>
              <w:t xml:space="preserve">12</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10</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Airport code → destination (+ LUK filter, auto-scroll, due-soon/overdue)</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10</w:t>
            </w:r>
          </w:p>
        </w:tc>
      </w:tr>
      <w:tr>
        <w:tc>
          <w:tcPr>
            <w:tcW w:type="dxa" w:w="720"/>
            <w:tcMar>
              <w:top w:type="dxa" w:w="70"/>
              <w:left w:type="dxa" w:w="110"/>
              <w:bottom w:type="dxa" w:w="70"/>
              <w:right w:type="dxa" w:w="110"/>
            </w:tcMar>
          </w:tcPr>
          <w:p>
            <w:pPr>
              <w:spacing w:after="0" w:line="260"/>
            </w:pPr>
            <w:r>
              <w:rPr>
                <w:sz w:val="20"/>
                <w:szCs w:val="20"/>
              </w:rPr>
              <w:t xml:space="preserve">11</w:t>
            </w:r>
          </w:p>
        </w:tc>
        <w:tc>
          <w:tcPr>
            <w:tcW w:type="dxa" w:w="7200"/>
            <w:tcMar>
              <w:top w:type="dxa" w:w="70"/>
              <w:left w:type="dxa" w:w="110"/>
              <w:bottom w:type="dxa" w:w="70"/>
              <w:right w:type="dxa" w:w="110"/>
            </w:tcMar>
          </w:tcPr>
          <w:p>
            <w:pPr>
              <w:spacing w:after="0" w:line="260"/>
            </w:pPr>
            <w:r>
              <w:rPr>
                <w:sz w:val="20"/>
                <w:szCs w:val="20"/>
              </w:rPr>
              <w:t xml:space="preserve">Back button</w:t>
            </w:r>
          </w:p>
        </w:tc>
        <w:tc>
          <w:tcPr>
            <w:tcW w:type="dxa" w:w="1440"/>
            <w:tcMar>
              <w:top w:type="dxa" w:w="70"/>
              <w:left w:type="dxa" w:w="110"/>
              <w:bottom w:type="dxa" w:w="70"/>
              <w:right w:type="dxa" w:w="110"/>
            </w:tcMar>
          </w:tcPr>
          <w:p>
            <w:pPr>
              <w:spacing w:after="0" w:line="260"/>
              <w:jc w:val="right"/>
            </w:pPr>
            <w:r>
              <w:rPr>
                <w:sz w:val="20"/>
                <w:szCs w:val="20"/>
              </w:rPr>
              <w:t xml:space="preserve">8</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12</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Turndown form (attach photo, show yesterday’s FOB)</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8</w:t>
            </w:r>
          </w:p>
        </w:tc>
      </w:tr>
      <w:tr>
        <w:tc>
          <w:tcPr>
            <w:tcW w:type="dxa" w:w="720"/>
            <w:tcMar>
              <w:top w:type="dxa" w:w="70"/>
              <w:left w:type="dxa" w:w="110"/>
              <w:bottom w:type="dxa" w:w="70"/>
              <w:right w:type="dxa" w:w="110"/>
            </w:tcMar>
          </w:tcPr>
          <w:p>
            <w:pPr>
              <w:spacing w:after="0" w:line="260"/>
            </w:pPr>
            <w:r>
              <w:rPr>
                <w:sz w:val="20"/>
                <w:szCs w:val="20"/>
              </w:rPr>
              <w:t xml:space="preserve">13</w:t>
            </w:r>
          </w:p>
        </w:tc>
        <w:tc>
          <w:tcPr>
            <w:tcW w:type="dxa" w:w="7200"/>
            <w:tcMar>
              <w:top w:type="dxa" w:w="70"/>
              <w:left w:type="dxa" w:w="110"/>
              <w:bottom w:type="dxa" w:w="70"/>
              <w:right w:type="dxa" w:w="110"/>
            </w:tcMar>
          </w:tcPr>
          <w:p>
            <w:pPr>
              <w:spacing w:after="0" w:line="260"/>
            </w:pPr>
            <w:r>
              <w:rPr>
                <w:sz w:val="20"/>
                <w:szCs w:val="20"/>
              </w:rPr>
              <w:t xml:space="preserve">Recall or edit a waiver request, with audit trail</w:t>
            </w:r>
          </w:p>
        </w:tc>
        <w:tc>
          <w:tcPr>
            <w:tcW w:type="dxa" w:w="1440"/>
            <w:tcMar>
              <w:top w:type="dxa" w:w="70"/>
              <w:left w:type="dxa" w:w="110"/>
              <w:bottom w:type="dxa" w:w="70"/>
              <w:right w:type="dxa" w:w="110"/>
            </w:tcMar>
          </w:tcPr>
          <w:p>
            <w:pPr>
              <w:spacing w:after="0" w:line="260"/>
              <w:jc w:val="right"/>
            </w:pPr>
            <w:r>
              <w:rPr>
                <w:sz w:val="20"/>
                <w:szCs w:val="20"/>
              </w:rPr>
              <w:t xml:space="preserve">8</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14</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GRAT — “My GRAT” submissions page</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6</w:t>
            </w:r>
          </w:p>
        </w:tc>
      </w:tr>
      <w:tr>
        <w:tc>
          <w:tcPr>
            <w:tcW w:type="dxa" w:w="720"/>
            <w:tcMar>
              <w:top w:type="dxa" w:w="70"/>
              <w:left w:type="dxa" w:w="110"/>
              <w:bottom w:type="dxa" w:w="70"/>
              <w:right w:type="dxa" w:w="110"/>
            </w:tcMar>
          </w:tcPr>
          <w:p>
            <w:pPr>
              <w:spacing w:after="0" w:line="260"/>
            </w:pPr>
            <w:r>
              <w:rPr>
                <w:sz w:val="20"/>
                <w:szCs w:val="20"/>
              </w:rPr>
              <w:t xml:space="preserve">15</w:t>
            </w:r>
          </w:p>
        </w:tc>
        <w:tc>
          <w:tcPr>
            <w:tcW w:type="dxa" w:w="7200"/>
            <w:tcMar>
              <w:top w:type="dxa" w:w="70"/>
              <w:left w:type="dxa" w:w="110"/>
              <w:bottom w:type="dxa" w:w="70"/>
              <w:right w:type="dxa" w:w="110"/>
            </w:tcMar>
          </w:tcPr>
          <w:p>
            <w:pPr>
              <w:spacing w:after="0" w:line="260"/>
            </w:pPr>
            <w:r>
              <w:rPr>
                <w:sz w:val="20"/>
                <w:szCs w:val="20"/>
              </w:rPr>
              <w:t xml:space="preserve">Passengers on lead dashboard (VP role)</w:t>
            </w:r>
          </w:p>
        </w:tc>
        <w:tc>
          <w:tcPr>
            <w:tcW w:type="dxa" w:w="1440"/>
            <w:tcMar>
              <w:top w:type="dxa" w:w="70"/>
              <w:left w:type="dxa" w:w="110"/>
              <w:bottom w:type="dxa" w:w="70"/>
              <w:right w:type="dxa" w:w="110"/>
            </w:tcMar>
          </w:tcPr>
          <w:p>
            <w:pPr>
              <w:spacing w:after="0" w:line="260"/>
              <w:jc w:val="right"/>
            </w:pPr>
            <w:r>
              <w:rPr>
                <w:sz w:val="20"/>
                <w:szCs w:val="20"/>
              </w:rPr>
              <w:t xml:space="preserve">6</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16</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Adjust which codes trigger the STOP payback</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2</w:t>
            </w:r>
          </w:p>
        </w:tc>
      </w:tr>
      <w:tr>
        <w:tc>
          <w:tcPr>
            <w:tcW w:type="dxa" w:w="720"/>
            <w:tcMar>
              <w:top w:type="dxa" w:w="70"/>
              <w:left w:type="dxa" w:w="110"/>
              <w:bottom w:type="dxa" w:w="70"/>
              <w:right w:type="dxa" w:w="110"/>
            </w:tcMar>
          </w:tcPr>
          <w:p>
            <w:pPr>
              <w:spacing w:after="0" w:line="260"/>
            </w:pPr>
            <w:r>
              <w:rPr>
                <w:sz w:val="20"/>
                <w:szCs w:val="20"/>
              </w:rPr>
              <w:t xml:space="preserve">17</w:t>
            </w:r>
          </w:p>
        </w:tc>
        <w:tc>
          <w:tcPr>
            <w:tcW w:type="dxa" w:w="7200"/>
            <w:tcMar>
              <w:top w:type="dxa" w:w="70"/>
              <w:left w:type="dxa" w:w="110"/>
              <w:bottom w:type="dxa" w:w="70"/>
              <w:right w:type="dxa" w:w="110"/>
            </w:tcMar>
          </w:tcPr>
          <w:p>
            <w:pPr>
              <w:spacing w:after="0" w:line="260"/>
            </w:pPr>
            <w:r>
              <w:rPr>
                <w:sz w:val="20"/>
                <w:szCs w:val="20"/>
              </w:rPr>
              <w:t xml:space="preserve">Lead Team → Line Managers</w:t>
            </w:r>
          </w:p>
        </w:tc>
        <w:tc>
          <w:tcPr>
            <w:tcW w:type="dxa" w:w="1440"/>
            <w:tcMar>
              <w:top w:type="dxa" w:w="70"/>
              <w:left w:type="dxa" w:w="110"/>
              <w:bottom w:type="dxa" w:w="70"/>
              <w:right w:type="dxa" w:w="110"/>
            </w:tcMar>
          </w:tcPr>
          <w:p>
            <w:pPr>
              <w:spacing w:after="0" w:line="260"/>
              <w:jc w:val="right"/>
            </w:pPr>
            <w:r>
              <w:rPr>
                <w:sz w:val="20"/>
                <w:szCs w:val="20"/>
              </w:rPr>
              <w:t xml:space="preserve">2</w:t>
            </w:r>
          </w:p>
        </w:tc>
      </w:tr>
      <w:tr>
        <w:tc>
          <w:tcPr>
            <w:tcW w:type="dxa" w:w="720"/>
            <w:shd w:fill="F5F7FA" w:color="auto" w:val="clear"/>
            <w:tcMar>
              <w:top w:type="dxa" w:w="70"/>
              <w:left w:type="dxa" w:w="110"/>
              <w:bottom w:type="dxa" w:w="70"/>
              <w:right w:type="dxa" w:w="110"/>
            </w:tcMar>
          </w:tcPr>
          <w:p>
            <w:pPr>
              <w:spacing w:after="0" w:line="260"/>
            </w:pPr>
            <w:r>
              <w:rPr>
                <w:sz w:val="20"/>
                <w:szCs w:val="20"/>
              </w:rPr>
              <w:t xml:space="preserve">18</w:t>
            </w:r>
          </w:p>
        </w:tc>
        <w:tc>
          <w:tcPr>
            <w:tcW w:type="dxa" w:w="7200"/>
            <w:shd w:fill="F5F7FA" w:color="auto" w:val="clear"/>
            <w:tcMar>
              <w:top w:type="dxa" w:w="70"/>
              <w:left w:type="dxa" w:w="110"/>
              <w:bottom w:type="dxa" w:w="70"/>
              <w:right w:type="dxa" w:w="110"/>
            </w:tcMar>
          </w:tcPr>
          <w:p>
            <w:pPr>
              <w:spacing w:after="0" w:line="260"/>
            </w:pPr>
            <w:r>
              <w:rPr>
                <w:sz w:val="20"/>
                <w:szCs w:val="20"/>
              </w:rPr>
              <w:t xml:space="preserve">Record Aircraft Fueling — tail number dropdown + “other”</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2</w:t>
            </w:r>
          </w:p>
        </w:tc>
      </w:tr>
      <w:tr>
        <w:tc>
          <w:tcPr>
            <w:tcW w:type="dxa" w:w="720"/>
            <w:tcMar>
              <w:top w:type="dxa" w:w="70"/>
              <w:left w:type="dxa" w:w="110"/>
              <w:bottom w:type="dxa" w:w="70"/>
              <w:right w:type="dxa" w:w="110"/>
            </w:tcMar>
          </w:tcPr>
          <w:p>
            <w:pPr>
              <w:spacing w:after="0" w:line="260"/>
            </w:pPr>
            <w:r>
              <w:rPr>
                <w:sz w:val="20"/>
                <w:szCs w:val="20"/>
              </w:rPr>
              <w:t xml:space="preserve">19</w:t>
            </w:r>
          </w:p>
        </w:tc>
        <w:tc>
          <w:tcPr>
            <w:tcW w:type="dxa" w:w="7200"/>
            <w:tcMar>
              <w:top w:type="dxa" w:w="70"/>
              <w:left w:type="dxa" w:w="110"/>
              <w:bottom w:type="dxa" w:w="70"/>
              <w:right w:type="dxa" w:w="110"/>
            </w:tcMar>
          </w:tcPr>
          <w:p>
            <w:pPr>
              <w:spacing w:after="0" w:line="260"/>
            </w:pPr>
            <w:r>
              <w:rPr>
                <w:sz w:val="20"/>
                <w:szCs w:val="20"/>
              </w:rPr>
              <w:t xml:space="preserve">Submit new waiver — airport should not be required</w:t>
            </w:r>
          </w:p>
        </w:tc>
        <w:tc>
          <w:tcPr>
            <w:tcW w:type="dxa" w:w="1440"/>
            <w:tcMar>
              <w:top w:type="dxa" w:w="70"/>
              <w:left w:type="dxa" w:w="110"/>
              <w:bottom w:type="dxa" w:w="70"/>
              <w:right w:type="dxa" w:w="110"/>
            </w:tcMar>
          </w:tcPr>
          <w:p>
            <w:pPr>
              <w:spacing w:after="0" w:line="260"/>
              <w:jc w:val="right"/>
            </w:pPr>
            <w:r>
              <w:rPr>
                <w:sz w:val="20"/>
                <w:szCs w:val="20"/>
              </w:rPr>
              <w:t xml:space="preserve">1</w:t>
            </w:r>
          </w:p>
        </w:tc>
      </w:tr>
      <w:tr>
        <w:tc>
          <w:tcPr>
            <w:tcW w:type="dxa" w:w="720"/>
            <w:shd w:fill="E8EDF5" w:color="auto" w:val="clear"/>
            <w:tcMar>
              <w:top w:type="dxa" w:w="70"/>
              <w:left w:type="dxa" w:w="110"/>
              <w:bottom w:type="dxa" w:w="70"/>
              <w:right w:type="dxa" w:w="110"/>
            </w:tcMar>
          </w:tcPr>
          <w:p>
            <w:pPr>
              <w:spacing w:after="0" w:line="260"/>
            </w:pPr>
            <w:r>
              <w:rPr>
                <w:sz w:val="20"/>
                <w:szCs w:val="20"/>
              </w:rPr>
              <w:t xml:space="preserve"/>
            </w:r>
          </w:p>
        </w:tc>
        <w:tc>
          <w:tcPr>
            <w:tcW w:type="dxa" w:w="7200"/>
            <w:shd w:fill="E8EDF5" w:color="auto" w:val="clear"/>
            <w:tcMar>
              <w:top w:type="dxa" w:w="70"/>
              <w:left w:type="dxa" w:w="110"/>
              <w:bottom w:type="dxa" w:w="70"/>
              <w:right w:type="dxa" w:w="110"/>
            </w:tcMar>
          </w:tcPr>
          <w:p>
            <w:pPr>
              <w:spacing w:after="0" w:line="260"/>
            </w:pPr>
            <w:r>
              <w:rPr>
                <w:b/>
                <w:bCs/>
                <w:sz w:val="20"/>
                <w:szCs w:val="20"/>
              </w:rPr>
              <w:t xml:space="preserve">Total</w:t>
            </w:r>
          </w:p>
        </w:tc>
        <w:tc>
          <w:tcPr>
            <w:tcW w:type="dxa" w:w="1440"/>
            <w:shd w:fill="E8EDF5" w:color="auto" w:val="clear"/>
            <w:tcMar>
              <w:top w:type="dxa" w:w="70"/>
              <w:left w:type="dxa" w:w="110"/>
              <w:bottom w:type="dxa" w:w="70"/>
              <w:right w:type="dxa" w:w="110"/>
            </w:tcMar>
          </w:tcPr>
          <w:p>
            <w:pPr>
              <w:spacing w:after="0" w:line="260"/>
              <w:jc w:val="right"/>
            </w:pPr>
            <w:r>
              <w:rPr>
                <w:b/>
                <w:bCs/>
                <w:sz w:val="20"/>
                <w:szCs w:val="20"/>
              </w:rPr>
              <w:t xml:space="preserve">513</w:t>
            </w:r>
          </w:p>
        </w:tc>
      </w:tr>
    </w:tbl>
    <w:p>
      <w:pPr>
        <w:spacing w:after="160"/>
      </w:pPr>
      <w:r>
        <w:rPr>
          <w:sz w:val="2"/>
          <w:szCs w:val="2"/>
        </w:rPr>
        <w:t xml:space="preserve"/>
      </w:r>
    </w:p>
    <w:p>
      <w:pPr>
        <w:spacing w:after="160" w:line="276"/>
      </w:pPr>
      <w:r>
        <w:rPr>
          <w:b/>
          <w:bCs/>
          <w:sz w:val="21"/>
          <w:szCs w:val="21"/>
        </w:rPr>
        <w:t xml:space="preserve">513 hrs × $85/hr = $43,605</w:t>
      </w:r>
    </w:p>
    <w:p>
      <w:pPr>
        <w:pStyle w:val="Heading2"/>
        <w:spacing w:after="120" w:before="260"/>
      </w:pPr>
      <w:r>
        <w:rPr>
          <w:b/>
          <w:bCs/>
          <w:color w:val="1F3864"/>
          <w:sz w:val="23"/>
          <w:szCs w:val="23"/>
        </w:rPr>
        <w:t xml:space="preserve">Note on item 3 — the pilot handoff slice</w:t>
      </w:r>
    </w:p>
    <w:p>
      <w:pPr>
        <w:spacing w:after="140" w:line="276"/>
      </w:pPr>
      <w:r>
        <w:rPr>
          <w:sz w:val="21"/>
          <w:szCs w:val="21"/>
        </w:rPr>
        <w:t xml:space="preserve">This is the one addition to the original line items, and we think it’s structurally required rather than optional.</w:t>
      </w:r>
    </w:p>
    <w:p>
      <w:pPr>
        <w:spacing w:after="140" w:line="276"/>
      </w:pPr>
      <w:r>
        <w:rPr>
          <w:sz w:val="21"/>
          <w:szCs w:val="21"/>
        </w:rPr>
        <w:t xml:space="preserve">The Tech Log’s aircraft handoff is a two-sided workflow: maintenance releases the aircraft, and the pilot reviews open deferrals and accepts responsibility. In the prototype, the pilot-facing half of that loop lives in the pilot workspace — the handover card, the deferral-acknowledgment step, and the accept-dispatch gate. The Tech Log module and the pilot workspace also share a persistence layer.</w:t>
      </w:r>
    </w:p>
    <w:p>
      <w:pPr>
        <w:spacing w:after="140" w:line="276"/>
      </w:pPr>
      <w:r>
        <w:rPr>
          <w:sz w:val="21"/>
          <w:szCs w:val="21"/>
        </w:rPr>
        <w:t xml:space="preserve">If Pilot Preflight Workflow is deferred in full, the Tech Log ships with maintenance able to release an aircraft and no pilot-side path to accept it. We’ve carved roughly 40 hours out of the quoted 145 to close that loop:</w:t>
      </w:r>
    </w:p>
    <w:p>
      <w:pPr>
        <w:pStyle w:val="ListParagraph"/>
        <w:numPr>
          <w:ilvl w:val="0"/>
          <w:numId w:val="2"/>
        </w:numPr>
        <w:spacing w:after="80" w:line="276"/>
      </w:pPr>
      <w:r>
        <w:rPr>
          <w:sz w:val="21"/>
          <w:szCs w:val="21"/>
        </w:rPr>
        <w:t xml:space="preserve">Aircraft handover card in the pilot view</w:t>
      </w:r>
    </w:p>
    <w:p>
      <w:pPr>
        <w:pStyle w:val="ListParagraph"/>
        <w:numPr>
          <w:ilvl w:val="0"/>
          <w:numId w:val="2"/>
        </w:numPr>
        <w:spacing w:after="80" w:line="276"/>
      </w:pPr>
      <w:r>
        <w:rPr>
          <w:sz w:val="21"/>
          <w:szCs w:val="21"/>
        </w:rPr>
        <w:t xml:space="preserve">Pilot acknowledgment of open deferrals prior to acceptance</w:t>
      </w:r>
    </w:p>
    <w:p>
      <w:pPr>
        <w:pStyle w:val="ListParagraph"/>
        <w:numPr>
          <w:ilvl w:val="0"/>
          <w:numId w:val="2"/>
        </w:numPr>
        <w:spacing w:after="80" w:line="276"/>
      </w:pPr>
      <w:r>
        <w:rPr>
          <w:sz w:val="21"/>
          <w:szCs w:val="21"/>
        </w:rPr>
        <w:t xml:space="preserve">Accept-dispatch action and its gating conditions</w:t>
      </w:r>
    </w:p>
    <w:p>
      <w:pPr>
        <w:pStyle w:val="ListParagraph"/>
        <w:numPr>
          <w:ilvl w:val="0"/>
          <w:numId w:val="2"/>
        </w:numPr>
        <w:spacing w:after="80" w:line="276"/>
      </w:pPr>
      <w:r>
        <w:rPr>
          <w:sz w:val="21"/>
          <w:szCs w:val="21"/>
        </w:rPr>
        <w:t xml:space="preserve">Pilot-side squawk / nuisance-item entry</w:t>
      </w:r>
    </w:p>
    <w:p>
      <w:pPr>
        <w:spacing w:after="60"/>
      </w:pPr>
      <w:r>
        <w:rPr>
          <w:sz w:val="2"/>
          <w:szCs w:val="2"/>
        </w:rPr>
        <w:t xml:space="preserve"/>
      </w:r>
    </w:p>
    <w:p>
      <w:pPr>
        <w:spacing w:after="140" w:line="276"/>
      </w:pPr>
      <w:r>
        <w:rPr>
          <w:sz w:val="21"/>
          <w:szCs w:val="21"/>
        </w:rPr>
        <w:t xml:space="preserve">Please confirm 40 hrs is the right size for that carve-out, or propose the number that is. The remaining ~105 hrs of Pilot Preflight (full pilot dashboard, personalized role views, configurable checklist requirements, deeper scheduling integration) is deferred.</w:t>
      </w:r>
    </w:p>
    <w:p>
      <w:pPr>
        <w:pStyle w:val="Heading1"/>
        <w:spacing w:after="160" w:before="340"/>
      </w:pPr>
      <w:r>
        <w:rPr>
          <w:b/>
          <w:bCs/>
          <w:color w:val="1F3864"/>
          <w:sz w:val="28"/>
          <w:szCs w:val="28"/>
        </w:rPr>
        <w:t xml:space="preserve">Deferred to a later phase — 629 hrs</w:t>
      </w:r>
    </w:p>
    <w:tbl>
      <w:tblPr>
        <w:tblW w:type="dxa" w:w="9360"/>
        <w:tblBorders>
          <w:top w:val="single" w:color="BFBFBF" w:sz="4"/>
          <w:left w:val="none" w:color="FFFFFF" w:sz="0"/>
          <w:bottom w:val="single" w:color="BFBFBF" w:sz="4"/>
          <w:right w:val="none" w:color="FFFFFF" w:sz="0"/>
          <w:insideH w:val="single" w:color="DDDDDD" w:sz="2"/>
          <w:insideV w:val="none" w:color="FFFFFF" w:sz="0"/>
        </w:tblBorders>
      </w:tblPr>
      <w:tblGrid>
        <w:gridCol w:w="7920"/>
        <w:gridCol w:w="1440"/>
      </w:tblGrid>
      <w:tr>
        <w:trPr>
          <w:tblHeader/>
        </w:trPr>
        <w:tc>
          <w:tcPr>
            <w:tcW w:type="dxa" w:w="7920"/>
            <w:shd w:fill="E8EDF5" w:color="auto" w:val="clear"/>
            <w:tcMar>
              <w:top w:type="dxa" w:w="70"/>
              <w:left w:type="dxa" w:w="110"/>
              <w:bottom w:type="dxa" w:w="70"/>
              <w:right w:type="dxa" w:w="110"/>
            </w:tcMar>
          </w:tcPr>
          <w:p>
            <w:pPr>
              <w:spacing w:after="0" w:line="260"/>
            </w:pPr>
            <w:r>
              <w:rPr>
                <w:b/>
                <w:bCs/>
                <w:sz w:val="20"/>
                <w:szCs w:val="20"/>
              </w:rPr>
              <w:t xml:space="preserve">Item</w:t>
            </w:r>
          </w:p>
        </w:tc>
        <w:tc>
          <w:tcPr>
            <w:tcW w:type="dxa" w:w="1440"/>
            <w:shd w:fill="E8EDF5" w:color="auto" w:val="clear"/>
            <w:tcMar>
              <w:top w:type="dxa" w:w="70"/>
              <w:left w:type="dxa" w:w="110"/>
              <w:bottom w:type="dxa" w:w="70"/>
              <w:right w:type="dxa" w:w="110"/>
            </w:tcMar>
          </w:tcPr>
          <w:p>
            <w:pPr>
              <w:spacing w:after="0" w:line="260"/>
              <w:jc w:val="right"/>
            </w:pPr>
            <w:r>
              <w:rPr>
                <w:b/>
                <w:bCs/>
                <w:sz w:val="20"/>
                <w:szCs w:val="20"/>
              </w:rPr>
              <w:t xml:space="preserve">Hrs</w:t>
            </w:r>
          </w:p>
        </w:tc>
      </w:tr>
      <w:tr>
        <w:tc>
          <w:tcPr>
            <w:tcW w:type="dxa" w:w="7920"/>
            <w:tcMar>
              <w:top w:type="dxa" w:w="70"/>
              <w:left w:type="dxa" w:w="110"/>
              <w:bottom w:type="dxa" w:w="70"/>
              <w:right w:type="dxa" w:w="110"/>
            </w:tcMar>
          </w:tcPr>
          <w:p>
            <w:pPr>
              <w:spacing w:after="0" w:line="260"/>
            </w:pPr>
            <w:r>
              <w:rPr>
                <w:sz w:val="20"/>
                <w:szCs w:val="20"/>
              </w:rPr>
              <w:t xml:space="preserve">Scheduling Calendar / Command Center</w:t>
            </w:r>
          </w:p>
        </w:tc>
        <w:tc>
          <w:tcPr>
            <w:tcW w:type="dxa" w:w="1440"/>
            <w:tcMar>
              <w:top w:type="dxa" w:w="70"/>
              <w:left w:type="dxa" w:w="110"/>
              <w:bottom w:type="dxa" w:w="70"/>
              <w:right w:type="dxa" w:w="110"/>
            </w:tcMar>
          </w:tcPr>
          <w:p>
            <w:pPr>
              <w:spacing w:after="0" w:line="260"/>
              <w:jc w:val="right"/>
            </w:pPr>
            <w:r>
              <w:rPr>
                <w:sz w:val="20"/>
                <w:szCs w:val="20"/>
              </w:rPr>
              <w:t xml:space="preserve">160</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Pilot Preflight Workflow — remainder</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105</w:t>
            </w:r>
          </w:p>
        </w:tc>
      </w:tr>
      <w:tr>
        <w:tc>
          <w:tcPr>
            <w:tcW w:type="dxa" w:w="7920"/>
            <w:tcMar>
              <w:top w:type="dxa" w:w="70"/>
              <w:left w:type="dxa" w:w="110"/>
              <w:bottom w:type="dxa" w:w="70"/>
              <w:right w:type="dxa" w:w="110"/>
            </w:tcMar>
          </w:tcPr>
          <w:p>
            <w:pPr>
              <w:spacing w:after="0" w:line="260"/>
            </w:pPr>
            <w:r>
              <w:rPr>
                <w:sz w:val="20"/>
                <w:szCs w:val="20"/>
              </w:rPr>
              <w:t xml:space="preserve">Calendar Sync</w:t>
            </w:r>
          </w:p>
        </w:tc>
        <w:tc>
          <w:tcPr>
            <w:tcW w:type="dxa" w:w="1440"/>
            <w:tcMar>
              <w:top w:type="dxa" w:w="70"/>
              <w:left w:type="dxa" w:w="110"/>
              <w:bottom w:type="dxa" w:w="70"/>
              <w:right w:type="dxa" w:w="110"/>
            </w:tcMar>
          </w:tcPr>
          <w:p>
            <w:pPr>
              <w:spacing w:after="0" w:line="260"/>
              <w:jc w:val="right"/>
            </w:pPr>
            <w:r>
              <w:rPr>
                <w:sz w:val="20"/>
                <w:szCs w:val="20"/>
              </w:rPr>
              <w:t xml:space="preserve">60</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Sign Offs</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40</w:t>
            </w:r>
          </w:p>
        </w:tc>
      </w:tr>
      <w:tr>
        <w:tc>
          <w:tcPr>
            <w:tcW w:type="dxa" w:w="7920"/>
            <w:tcMar>
              <w:top w:type="dxa" w:w="70"/>
              <w:left w:type="dxa" w:w="110"/>
              <w:bottom w:type="dxa" w:w="70"/>
              <w:right w:type="dxa" w:w="110"/>
            </w:tcMar>
          </w:tcPr>
          <w:p>
            <w:pPr>
              <w:spacing w:after="0" w:line="260"/>
            </w:pPr>
            <w:r>
              <w:rPr>
                <w:sz w:val="20"/>
                <w:szCs w:val="20"/>
              </w:rPr>
              <w:t xml:space="preserve">Flight Calendar</w:t>
            </w:r>
          </w:p>
        </w:tc>
        <w:tc>
          <w:tcPr>
            <w:tcW w:type="dxa" w:w="1440"/>
            <w:tcMar>
              <w:top w:type="dxa" w:w="70"/>
              <w:left w:type="dxa" w:w="110"/>
              <w:bottom w:type="dxa" w:w="70"/>
              <w:right w:type="dxa" w:w="110"/>
            </w:tcMar>
          </w:tcPr>
          <w:p>
            <w:pPr>
              <w:spacing w:after="0" w:line="260"/>
              <w:jc w:val="right"/>
            </w:pPr>
            <w:r>
              <w:rPr>
                <w:sz w:val="20"/>
                <w:szCs w:val="20"/>
              </w:rPr>
              <w:t xml:space="preserve">36</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Flight Attendant Upcoming Flights Dashboard</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32</w:t>
            </w:r>
          </w:p>
        </w:tc>
      </w:tr>
      <w:tr>
        <w:tc>
          <w:tcPr>
            <w:tcW w:type="dxa" w:w="7920"/>
            <w:tcMar>
              <w:top w:type="dxa" w:w="70"/>
              <w:left w:type="dxa" w:w="110"/>
              <w:bottom w:type="dxa" w:w="70"/>
              <w:right w:type="dxa" w:w="110"/>
            </w:tcMar>
          </w:tcPr>
          <w:p>
            <w:pPr>
              <w:spacing w:after="0" w:line="260"/>
            </w:pPr>
            <w:r>
              <w:rPr>
                <w:sz w:val="20"/>
                <w:szCs w:val="20"/>
              </w:rPr>
              <w:t xml:space="preserve">Message Thread in Hazard Reports</w:t>
            </w:r>
          </w:p>
        </w:tc>
        <w:tc>
          <w:tcPr>
            <w:tcW w:type="dxa" w:w="1440"/>
            <w:tcMar>
              <w:top w:type="dxa" w:w="70"/>
              <w:left w:type="dxa" w:w="110"/>
              <w:bottom w:type="dxa" w:w="70"/>
              <w:right w:type="dxa" w:w="110"/>
            </w:tcMar>
          </w:tcPr>
          <w:p>
            <w:pPr>
              <w:spacing w:after="0" w:line="260"/>
              <w:jc w:val="right"/>
            </w:pPr>
            <w:r>
              <w:rPr>
                <w:sz w:val="20"/>
                <w:szCs w:val="20"/>
              </w:rPr>
              <w:t xml:space="preserve">32</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Tribal knowledge section</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32</w:t>
            </w:r>
          </w:p>
        </w:tc>
      </w:tr>
      <w:tr>
        <w:tc>
          <w:tcPr>
            <w:tcW w:type="dxa" w:w="7920"/>
            <w:tcMar>
              <w:top w:type="dxa" w:w="70"/>
              <w:left w:type="dxa" w:w="110"/>
              <w:bottom w:type="dxa" w:w="70"/>
              <w:right w:type="dxa" w:w="110"/>
            </w:tcMar>
          </w:tcPr>
          <w:p>
            <w:pPr>
              <w:spacing w:after="0" w:line="260"/>
            </w:pPr>
            <w:r>
              <w:rPr>
                <w:sz w:val="20"/>
                <w:szCs w:val="20"/>
              </w:rPr>
              <w:t xml:space="preserve">Flight Operations Bulletins</w:t>
            </w:r>
          </w:p>
        </w:tc>
        <w:tc>
          <w:tcPr>
            <w:tcW w:type="dxa" w:w="1440"/>
            <w:tcMar>
              <w:top w:type="dxa" w:w="70"/>
              <w:left w:type="dxa" w:w="110"/>
              <w:bottom w:type="dxa" w:w="70"/>
              <w:right w:type="dxa" w:w="110"/>
            </w:tcMar>
          </w:tcPr>
          <w:p>
            <w:pPr>
              <w:spacing w:after="0" w:line="260"/>
              <w:jc w:val="right"/>
            </w:pPr>
            <w:r>
              <w:rPr>
                <w:sz w:val="20"/>
                <w:szCs w:val="20"/>
              </w:rPr>
              <w:t xml:space="preserve">24</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Schedule — airport’s own local time</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20</w:t>
            </w:r>
          </w:p>
        </w:tc>
      </w:tr>
      <w:tr>
        <w:tc>
          <w:tcPr>
            <w:tcW w:type="dxa" w:w="7920"/>
            <w:tcMar>
              <w:top w:type="dxa" w:w="70"/>
              <w:left w:type="dxa" w:w="110"/>
              <w:bottom w:type="dxa" w:w="70"/>
              <w:right w:type="dxa" w:w="110"/>
            </w:tcMar>
          </w:tcPr>
          <w:p>
            <w:pPr>
              <w:spacing w:after="0" w:line="260"/>
            </w:pPr>
            <w:r>
              <w:rPr>
                <w:sz w:val="20"/>
                <w:szCs w:val="20"/>
              </w:rPr>
              <w:t xml:space="preserve">Images and comments for passenger cards</w:t>
            </w:r>
          </w:p>
        </w:tc>
        <w:tc>
          <w:tcPr>
            <w:tcW w:type="dxa" w:w="1440"/>
            <w:tcMar>
              <w:top w:type="dxa" w:w="70"/>
              <w:left w:type="dxa" w:w="110"/>
              <w:bottom w:type="dxa" w:w="70"/>
              <w:right w:type="dxa" w:w="110"/>
            </w:tcMar>
          </w:tcPr>
          <w:p>
            <w:pPr>
              <w:spacing w:after="0" w:line="260"/>
              <w:jc w:val="right"/>
            </w:pPr>
            <w:r>
              <w:rPr>
                <w:sz w:val="20"/>
                <w:szCs w:val="20"/>
              </w:rPr>
              <w:t xml:space="preserve">20</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Stacked bar chart crew tracking</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20</w:t>
            </w:r>
          </w:p>
        </w:tc>
      </w:tr>
      <w:tr>
        <w:tc>
          <w:tcPr>
            <w:tcW w:type="dxa" w:w="7920"/>
            <w:tcMar>
              <w:top w:type="dxa" w:w="70"/>
              <w:left w:type="dxa" w:w="110"/>
              <w:bottom w:type="dxa" w:w="70"/>
              <w:right w:type="dxa" w:w="110"/>
            </w:tcMar>
          </w:tcPr>
          <w:p>
            <w:pPr>
              <w:spacing w:after="0" w:line="260"/>
            </w:pPr>
            <w:r>
              <w:rPr>
                <w:sz w:val="20"/>
                <w:szCs w:val="20"/>
              </w:rPr>
              <w:t xml:space="preserve">myAirOps edge case — deleted trip legs</w:t>
            </w:r>
          </w:p>
        </w:tc>
        <w:tc>
          <w:tcPr>
            <w:tcW w:type="dxa" w:w="1440"/>
            <w:tcMar>
              <w:top w:type="dxa" w:w="70"/>
              <w:left w:type="dxa" w:w="110"/>
              <w:bottom w:type="dxa" w:w="70"/>
              <w:right w:type="dxa" w:w="110"/>
            </w:tcMar>
          </w:tcPr>
          <w:p>
            <w:pPr>
              <w:spacing w:after="0" w:line="260"/>
              <w:jc w:val="right"/>
            </w:pPr>
            <w:r>
              <w:rPr>
                <w:sz w:val="20"/>
                <w:szCs w:val="20"/>
              </w:rPr>
              <w:t xml:space="preserve">16</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Edit the document when saved as /safety/compliance</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12</w:t>
            </w:r>
          </w:p>
        </w:tc>
      </w:tr>
      <w:tr>
        <w:tc>
          <w:tcPr>
            <w:tcW w:type="dxa" w:w="7920"/>
            <w:tcMar>
              <w:top w:type="dxa" w:w="70"/>
              <w:left w:type="dxa" w:w="110"/>
              <w:bottom w:type="dxa" w:w="70"/>
              <w:right w:type="dxa" w:w="110"/>
            </w:tcMar>
          </w:tcPr>
          <w:p>
            <w:pPr>
              <w:spacing w:after="0" w:line="260"/>
            </w:pPr>
            <w:r>
              <w:rPr>
                <w:sz w:val="20"/>
                <w:szCs w:val="20"/>
              </w:rPr>
              <w:t xml:space="preserve">Cars In Hangar</w:t>
            </w:r>
          </w:p>
        </w:tc>
        <w:tc>
          <w:tcPr>
            <w:tcW w:type="dxa" w:w="1440"/>
            <w:tcMar>
              <w:top w:type="dxa" w:w="70"/>
              <w:left w:type="dxa" w:w="110"/>
              <w:bottom w:type="dxa" w:w="70"/>
              <w:right w:type="dxa" w:w="110"/>
            </w:tcMar>
          </w:tcPr>
          <w:p>
            <w:pPr>
              <w:spacing w:after="0" w:line="260"/>
              <w:jc w:val="right"/>
            </w:pPr>
            <w:r>
              <w:rPr>
                <w:sz w:val="20"/>
                <w:szCs w:val="20"/>
              </w:rPr>
              <w:t xml:space="preserve">6</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Batch of Tweaks</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6</w:t>
            </w:r>
          </w:p>
        </w:tc>
      </w:tr>
      <w:tr>
        <w:tc>
          <w:tcPr>
            <w:tcW w:type="dxa" w:w="7920"/>
            <w:tcMar>
              <w:top w:type="dxa" w:w="70"/>
              <w:left w:type="dxa" w:w="110"/>
              <w:bottom w:type="dxa" w:w="70"/>
              <w:right w:type="dxa" w:w="110"/>
            </w:tcMar>
          </w:tcPr>
          <w:p>
            <w:pPr>
              <w:spacing w:after="0" w:line="260"/>
            </w:pPr>
            <w:r>
              <w:rPr>
                <w:sz w:val="20"/>
                <w:szCs w:val="20"/>
              </w:rPr>
              <w:t xml:space="preserve">Fleet Status</w:t>
            </w:r>
          </w:p>
        </w:tc>
        <w:tc>
          <w:tcPr>
            <w:tcW w:type="dxa" w:w="1440"/>
            <w:tcMar>
              <w:top w:type="dxa" w:w="70"/>
              <w:left w:type="dxa" w:w="110"/>
              <w:bottom w:type="dxa" w:w="70"/>
              <w:right w:type="dxa" w:w="110"/>
            </w:tcMar>
          </w:tcPr>
          <w:p>
            <w:pPr>
              <w:spacing w:after="0" w:line="260"/>
              <w:jc w:val="right"/>
            </w:pPr>
            <w:r>
              <w:rPr>
                <w:sz w:val="20"/>
                <w:szCs w:val="20"/>
              </w:rPr>
              <w:t xml:space="preserve">4</w:t>
            </w:r>
          </w:p>
        </w:tc>
      </w:tr>
      <w:tr>
        <w:tc>
          <w:tcPr>
            <w:tcW w:type="dxa" w:w="7920"/>
            <w:shd w:fill="F5F7FA" w:color="auto" w:val="clear"/>
            <w:tcMar>
              <w:top w:type="dxa" w:w="70"/>
              <w:left w:type="dxa" w:w="110"/>
              <w:bottom w:type="dxa" w:w="70"/>
              <w:right w:type="dxa" w:w="110"/>
            </w:tcMar>
          </w:tcPr>
          <w:p>
            <w:pPr>
              <w:spacing w:after="0" w:line="260"/>
            </w:pPr>
            <w:r>
              <w:rPr>
                <w:sz w:val="20"/>
                <w:szCs w:val="20"/>
              </w:rPr>
              <w:t xml:space="preserve">Daily operations view — crew button</w:t>
            </w:r>
          </w:p>
        </w:tc>
        <w:tc>
          <w:tcPr>
            <w:tcW w:type="dxa" w:w="1440"/>
            <w:shd w:fill="F5F7FA" w:color="auto" w:val="clear"/>
            <w:tcMar>
              <w:top w:type="dxa" w:w="70"/>
              <w:left w:type="dxa" w:w="110"/>
              <w:bottom w:type="dxa" w:w="70"/>
              <w:right w:type="dxa" w:w="110"/>
            </w:tcMar>
          </w:tcPr>
          <w:p>
            <w:pPr>
              <w:spacing w:after="0" w:line="260"/>
              <w:jc w:val="right"/>
            </w:pPr>
            <w:r>
              <w:rPr>
                <w:sz w:val="20"/>
                <w:szCs w:val="20"/>
              </w:rPr>
              <w:t xml:space="preserve">4</w:t>
            </w:r>
          </w:p>
        </w:tc>
      </w:tr>
      <w:tr>
        <w:tc>
          <w:tcPr>
            <w:tcW w:type="dxa" w:w="7920"/>
            <w:tcMar>
              <w:top w:type="dxa" w:w="70"/>
              <w:left w:type="dxa" w:w="110"/>
              <w:bottom w:type="dxa" w:w="70"/>
              <w:right w:type="dxa" w:w="110"/>
            </w:tcMar>
          </w:tcPr>
          <w:p>
            <w:pPr>
              <w:spacing w:after="0" w:line="260"/>
            </w:pPr>
            <w:r>
              <w:rPr>
                <w:sz w:val="20"/>
                <w:szCs w:val="20"/>
              </w:rPr>
              <w:t xml:space="preserve">Tracking and Data</w:t>
            </w:r>
          </w:p>
        </w:tc>
        <w:tc>
          <w:tcPr>
            <w:tcW w:type="dxa" w:w="1440"/>
            <w:tcMar>
              <w:top w:type="dxa" w:w="70"/>
              <w:left w:type="dxa" w:w="110"/>
              <w:bottom w:type="dxa" w:w="70"/>
              <w:right w:type="dxa" w:w="110"/>
            </w:tcMar>
          </w:tcPr>
          <w:p>
            <w:pPr>
              <w:spacing w:after="0" w:line="260"/>
              <w:jc w:val="right"/>
            </w:pPr>
            <w:r>
              <w:rPr>
                <w:sz w:val="20"/>
                <w:szCs w:val="20"/>
              </w:rPr>
              <w:t xml:space="preserve">TBD</w:t>
            </w:r>
          </w:p>
        </w:tc>
      </w:tr>
      <w:tr>
        <w:tc>
          <w:tcPr>
            <w:tcW w:type="dxa" w:w="7920"/>
            <w:shd w:fill="E8EDF5" w:color="auto" w:val="clear"/>
            <w:tcMar>
              <w:top w:type="dxa" w:w="70"/>
              <w:left w:type="dxa" w:w="110"/>
              <w:bottom w:type="dxa" w:w="70"/>
              <w:right w:type="dxa" w:w="110"/>
            </w:tcMar>
          </w:tcPr>
          <w:p>
            <w:pPr>
              <w:spacing w:after="0" w:line="260"/>
            </w:pPr>
            <w:r>
              <w:rPr>
                <w:b/>
                <w:bCs/>
                <w:sz w:val="20"/>
                <w:szCs w:val="20"/>
              </w:rPr>
              <w:t xml:space="preserve">Total</w:t>
            </w:r>
          </w:p>
        </w:tc>
        <w:tc>
          <w:tcPr>
            <w:tcW w:type="dxa" w:w="1440"/>
            <w:shd w:fill="E8EDF5" w:color="auto" w:val="clear"/>
            <w:tcMar>
              <w:top w:type="dxa" w:w="70"/>
              <w:left w:type="dxa" w:w="110"/>
              <w:bottom w:type="dxa" w:w="70"/>
              <w:right w:type="dxa" w:w="110"/>
            </w:tcMar>
          </w:tcPr>
          <w:p>
            <w:pPr>
              <w:spacing w:after="0" w:line="260"/>
              <w:jc w:val="right"/>
            </w:pPr>
            <w:r>
              <w:rPr>
                <w:b/>
                <w:bCs/>
                <w:sz w:val="20"/>
                <w:szCs w:val="20"/>
              </w:rPr>
              <w:t xml:space="preserve">629</w:t>
            </w:r>
          </w:p>
        </w:tc>
      </w:tr>
    </w:tbl>
    <w:p>
      <w:pPr>
        <w:spacing w:after="160"/>
      </w:pPr>
      <w:r>
        <w:rPr>
          <w:sz w:val="2"/>
          <w:szCs w:val="2"/>
        </w:rPr>
        <w:t xml:space="preserve"/>
      </w:r>
    </w:p>
    <w:p>
      <w:pPr>
        <w:spacing w:after="140" w:line="276"/>
      </w:pPr>
      <w:r>
        <w:rPr>
          <w:sz w:val="21"/>
          <w:szCs w:val="21"/>
        </w:rPr>
        <w:t xml:space="preserve">Two of these we’d like to handle differently rather than simply defer — see items 5 and 6 in the next section.</w:t>
      </w:r>
    </w:p>
    <w:p>
      <w:pPr>
        <w:pStyle w:val="Heading1"/>
        <w:spacing w:after="160" w:before="340"/>
      </w:pPr>
      <w:r>
        <w:rPr>
          <w:b/>
          <w:bCs/>
          <w:color w:val="1F3864"/>
          <w:sz w:val="28"/>
          <w:szCs w:val="28"/>
        </w:rPr>
        <w:t xml:space="preserve">Items to clarify or correct before PO</w:t>
      </w:r>
    </w:p>
    <w:p>
      <w:pPr>
        <w:pStyle w:val="Heading2"/>
        <w:spacing w:after="120" w:before="260"/>
      </w:pPr>
      <w:r>
        <w:rPr>
          <w:b/>
          <w:bCs/>
          <w:color w:val="1F3864"/>
          <w:sz w:val="23"/>
          <w:szCs w:val="23"/>
        </w:rPr>
        <w:t xml:space="preserve">1.  Rate confirmation at reduced volume</w:t>
      </w:r>
    </w:p>
    <w:p>
      <w:pPr>
        <w:spacing w:after="140" w:line="276"/>
      </w:pPr>
      <w:r>
        <w:rPr>
          <w:sz w:val="21"/>
          <w:szCs w:val="21"/>
        </w:rPr>
        <w:t xml:space="preserve">The quote prices 1,142 hours at a discounted $85/hr against a standard rate of $90. This proposal is under half that volume. Please confirm $85/hr still applies at ~513 hours.</w:t>
      </w:r>
    </w:p>
    <w:p>
      <w:pPr>
        <w:spacing w:after="140" w:line="276"/>
      </w:pPr>
      <w:r>
        <w:rPr>
          <w:sz w:val="21"/>
          <w:szCs w:val="21"/>
        </w:rPr>
        <w:t xml:space="preserve">This materially changes the decision: at $90/hr, 513 hours is $46,170, which is outside the budget and would require cutting further. We’d rather know now than after scope is locked.</w:t>
      </w:r>
    </w:p>
    <w:p>
      <w:pPr>
        <w:pStyle w:val="Heading2"/>
        <w:spacing w:after="120" w:before="260"/>
      </w:pPr>
      <w:r>
        <w:rPr>
          <w:b/>
          <w:bCs/>
          <w:color w:val="1F3864"/>
          <w:sz w:val="23"/>
          <w:szCs w:val="23"/>
        </w:rPr>
        <w:t xml:space="preserve">2.  Tech Log — request for a sub-line breakdown</w:t>
      </w:r>
    </w:p>
    <w:p>
      <w:pPr>
        <w:spacing w:after="140" w:line="276"/>
      </w:pPr>
      <w:r>
        <w:rPr>
          <w:sz w:val="21"/>
          <w:szCs w:val="21"/>
        </w:rPr>
        <w:t xml:space="preserve">Tech Log is the one major module we’re keeping, and at 160 hrs it’s the largest single line. Before we commit, we’d like to see it broken into sub-items — specifically, how the following are covered. These are behaviors present in the prototype that don’t surface as screens, so they’re easy to miss in a walkthrough-based estimate:</w:t>
      </w:r>
    </w:p>
    <w:p>
      <w:pPr>
        <w:pStyle w:val="ListParagraph"/>
        <w:numPr>
          <w:ilvl w:val="0"/>
          <w:numId w:val="3"/>
        </w:numPr>
        <w:spacing w:after="110" w:line="276"/>
      </w:pPr>
      <w:r>
        <w:rPr>
          <w:b/>
          <w:bCs/>
          <w:sz w:val="21"/>
          <w:szCs w:val="21"/>
        </w:rPr>
        <w:t xml:space="preserve">Storage model. </w:t>
      </w:r>
      <w:r>
        <w:rPr>
          <w:sz w:val="21"/>
          <w:szCs w:val="21"/>
        </w:rPr>
        <w:t xml:space="preserve">Are signed records — journey log, defects, deferrals, maintenance releases, signatures, audit trail — append-only and immutable, with corrections handled as superseding inserts? Or are they updatable rows?</w:t>
      </w:r>
    </w:p>
    <w:p>
      <w:pPr>
        <w:pStyle w:val="ListParagraph"/>
        <w:numPr>
          <w:ilvl w:val="0"/>
          <w:numId w:val="3"/>
        </w:numPr>
        <w:spacing w:after="110" w:line="276"/>
      </w:pPr>
      <w:r>
        <w:rPr>
          <w:b/>
          <w:bCs/>
          <w:sz w:val="21"/>
          <w:szCs w:val="21"/>
        </w:rPr>
        <w:t xml:space="preserve">Signature integrity. </w:t>
      </w:r>
      <w:r>
        <w:rPr>
          <w:sz w:val="21"/>
          <w:szCs w:val="21"/>
        </w:rPr>
        <w:t xml:space="preserve">What produces the bytes that get hashed? We need RFC 8785 (JCS) canonicalization plus SHA-256, with the content hash recomputed server-side at commit and the server timestamp treated as authoritative over the client’s.</w:t>
      </w:r>
    </w:p>
    <w:p>
      <w:pPr>
        <w:pStyle w:val="ListParagraph"/>
        <w:numPr>
          <w:ilvl w:val="0"/>
          <w:numId w:val="3"/>
        </w:numPr>
        <w:spacing w:after="110" w:line="276"/>
      </w:pPr>
      <w:r>
        <w:rPr>
          <w:b/>
          <w:bCs/>
          <w:sz w:val="21"/>
          <w:szCs w:val="21"/>
        </w:rPr>
        <w:t xml:space="preserve">MEL clock. </w:t>
      </w:r>
      <w:r>
        <w:rPr>
          <w:sz w:val="21"/>
          <w:szCs w:val="21"/>
        </w:rPr>
        <w:t xml:space="preserve">Categories A/B/C/D per PL-25 — day of discovery excluded, clock starts at midnight following. B and C extendable once with justification; A and D never. Plus point-in-time MMEL revision capture, so a deferral signed under revision N still reads correctly after revision N+1 ships.</w:t>
      </w:r>
    </w:p>
    <w:p>
      <w:pPr>
        <w:pStyle w:val="ListParagraph"/>
        <w:numPr>
          <w:ilvl w:val="0"/>
          <w:numId w:val="3"/>
        </w:numPr>
        <w:spacing w:after="110" w:line="276"/>
      </w:pPr>
      <w:r>
        <w:rPr>
          <w:b/>
          <w:bCs/>
          <w:sz w:val="21"/>
          <w:szCs w:val="21"/>
        </w:rPr>
        <w:t xml:space="preserve">Sign-off gates. </w:t>
      </w:r>
      <w:r>
        <w:rPr>
          <w:sz w:val="21"/>
          <w:szCs w:val="21"/>
        </w:rPr>
        <w:t xml:space="preserve">A Certificate of Release to Service must be blocked if the signer has no A&amp;P certificate number on file. On RII-required sign-offs, the same person cannot be both performer and inspector.</w:t>
      </w:r>
    </w:p>
    <w:p>
      <w:pPr>
        <w:pStyle w:val="ListParagraph"/>
        <w:numPr>
          <w:ilvl w:val="0"/>
          <w:numId w:val="3"/>
        </w:numPr>
        <w:spacing w:after="110" w:line="276"/>
      </w:pPr>
      <w:r>
        <w:rPr>
          <w:b/>
          <w:bCs/>
          <w:sz w:val="21"/>
          <w:szCs w:val="21"/>
        </w:rPr>
        <w:t xml:space="preserve">Offline signing. </w:t>
      </w:r>
      <w:r>
        <w:rPr>
          <w:sz w:val="21"/>
          <w:szCs w:val="21"/>
        </w:rPr>
        <w:t xml:space="preserve">Can a pilot or mechanic sign with no connectivity, and does the signed record persist to durable local storage before any sync is attempted? What is the idempotency and conflict model on reconnect?</w:t>
      </w:r>
    </w:p>
    <w:p>
      <w:pPr>
        <w:pStyle w:val="ListParagraph"/>
        <w:numPr>
          <w:ilvl w:val="0"/>
          <w:numId w:val="3"/>
        </w:numPr>
        <w:spacing w:after="110" w:line="276"/>
      </w:pPr>
      <w:r>
        <w:rPr>
          <w:b/>
          <w:bCs/>
          <w:sz w:val="21"/>
          <w:szCs w:val="21"/>
        </w:rPr>
        <w:t xml:space="preserve">Test coverage. </w:t>
      </w:r>
      <w:r>
        <w:rPr>
          <w:sz w:val="21"/>
          <w:szCs w:val="21"/>
        </w:rPr>
        <w:t xml:space="preserve">The prototype carries roughly 480 test cases across the Tech Log logic modules, most of them on the rules above. Is comparable coverage included in the 160?</w:t>
      </w:r>
    </w:p>
    <w:p>
      <w:pPr>
        <w:spacing w:after="60"/>
      </w:pPr>
      <w:r>
        <w:rPr>
          <w:sz w:val="2"/>
          <w:szCs w:val="2"/>
        </w:rPr>
        <w:t xml:space="preserve"/>
      </w:r>
    </w:p>
    <w:p>
      <w:pPr>
        <w:spacing w:after="140" w:line="276"/>
      </w:pPr>
      <w:r>
        <w:rPr>
          <w:sz w:val="21"/>
          <w:szCs w:val="21"/>
        </w:rPr>
        <w:t xml:space="preserve">We’d also like to know which Tech Log screens are in scope and roughly how the hours distribute across them. The prototype’s Tech Log module has 27 pages.</w:t>
      </w:r>
    </w:p>
    <w:p>
      <w:pPr>
        <w:spacing w:after="140" w:line="276"/>
      </w:pPr>
      <w:r>
        <w:rPr>
          <w:sz w:val="21"/>
          <w:szCs w:val="21"/>
        </w:rPr>
        <w:t xml:space="preserve">To be clear about why we’re asking: this module is the aircraft’s maintenance record under 14 CFR 91.417, and the immutability and signature rules can’t be retrofitted after records have been signed. If the answer is that 160 hrs covers all of the above, we’re satisfied. If some of it sits outside the estimate, we’d rather increase this line and cut elsewhere than discover the gap mid-build.</w:t>
      </w:r>
    </w:p>
    <w:p>
      <w:pPr>
        <w:pStyle w:val="Heading2"/>
        <w:spacing w:after="120" w:before="260"/>
      </w:pPr>
      <w:r>
        <w:rPr>
          <w:b/>
          <w:bCs/>
          <w:color w:val="1F3864"/>
          <w:sz w:val="23"/>
          <w:szCs w:val="23"/>
        </w:rPr>
        <w:t xml:space="preserve">3.  Correct the hour totals</w:t>
      </w:r>
    </w:p>
    <w:p>
      <w:pPr>
        <w:spacing w:after="140" w:line="276"/>
      </w:pPr>
      <w:r>
        <w:rPr>
          <w:sz w:val="21"/>
          <w:szCs w:val="21"/>
        </w:rPr>
        <w:t xml:space="preserve">The itemized rows sum to 1,142, not the 1,150 shown. Separately, the “Estimated Total Dev HRs 985” figure appears to be a subtotal from the 07/10 version that wasn’t updated in the 07/27 revision. Please reissue with corrected arithmetic.</w:t>
      </w:r>
    </w:p>
    <w:p>
      <w:pPr>
        <w:pStyle w:val="Heading2"/>
        <w:spacing w:after="120" w:before="260"/>
      </w:pPr>
      <w:r>
        <w:rPr>
          <w:b/>
          <w:bCs/>
          <w:color w:val="1F3864"/>
          <w:sz w:val="23"/>
          <w:szCs w:val="23"/>
        </w:rPr>
        <w:t xml:space="preserve">4.  Remove “Tracking and Data (TBD)”</w:t>
      </w:r>
    </w:p>
    <w:p>
      <w:pPr>
        <w:spacing w:after="140" w:line="276"/>
      </w:pPr>
      <w:r>
        <w:rPr>
          <w:sz w:val="21"/>
          <w:szCs w:val="21"/>
        </w:rPr>
        <w:t xml:space="preserve">The scope narrative commits to an “Operational Data Tracking &amp; Analytics Framework,” but the line item is unpriced. An unpriced deliverable inside a fixed bid isn’t something we can put on a PO. Please either price it or remove it from scope — we’re assuming removed.</w:t>
      </w:r>
    </w:p>
    <w:p>
      <w:pPr>
        <w:pStyle w:val="Heading2"/>
        <w:spacing w:after="120" w:before="260"/>
      </w:pPr>
      <w:r>
        <w:rPr>
          <w:b/>
          <w:bCs/>
          <w:color w:val="1F3864"/>
          <w:sz w:val="23"/>
          <w:szCs w:val="23"/>
        </w:rPr>
        <w:t xml:space="preserve">5.  myAirOps deleted trip legs (16 hrs) — warranty or new scope?</w:t>
      </w:r>
    </w:p>
    <w:p>
      <w:pPr>
        <w:spacing w:after="140" w:line="276"/>
      </w:pPr>
      <w:r>
        <w:rPr>
          <w:sz w:val="21"/>
          <w:szCs w:val="21"/>
        </w:rPr>
        <w:t xml:space="preserve">The note reads “we’re working on a solution to handle these removals correctly.” If this is a defect in the system already in production, we’d expect it under warranty or the support agreement rather than as new Phase 2 scope. Please confirm which.</w:t>
      </w:r>
    </w:p>
    <w:p>
      <w:pPr>
        <w:spacing w:after="140" w:line="276"/>
      </w:pPr>
      <w:r>
        <w:rPr>
          <w:sz w:val="21"/>
          <w:szCs w:val="21"/>
        </w:rPr>
        <w:t xml:space="preserve">Substantively this is our highest-priority correctness issue — deleted legs remaining visible means crew and catering get planned against flights that don’t exist. We want it fixed promptly regardless of which bucket it lands in.</w:t>
      </w:r>
    </w:p>
    <w:p>
      <w:pPr>
        <w:pStyle w:val="Heading2"/>
        <w:spacing w:after="120" w:before="260"/>
      </w:pPr>
      <w:r>
        <w:rPr>
          <w:b/>
          <w:bCs/>
          <w:color w:val="1F3864"/>
          <w:sz w:val="23"/>
          <w:szCs w:val="23"/>
        </w:rPr>
        <w:t xml:space="preserve">6.  “Batch of Tweaks” (6 hrs)</w:t>
      </w:r>
    </w:p>
    <w:p>
      <w:pPr>
        <w:spacing w:after="140" w:line="276"/>
      </w:pPr>
      <w:r>
        <w:rPr>
          <w:sz w:val="21"/>
          <w:szCs w:val="21"/>
        </w:rPr>
        <w:t xml:space="preserve">We can’t accept an unnamed line item on a PO — there’s no way to define completion. Please either itemize what’s in it, or drop it and let those changes flow through the monthly support bucket, which is the right home for undefined work.</w:t>
      </w:r>
    </w:p>
    <w:p>
      <w:pPr>
        <w:pStyle w:val="Heading2"/>
        <w:spacing w:after="120" w:before="260"/>
      </w:pPr>
      <w:r>
        <w:rPr>
          <w:b/>
          <w:bCs/>
          <w:color w:val="1F3864"/>
          <w:sz w:val="23"/>
          <w:szCs w:val="23"/>
        </w:rPr>
        <w:t xml:space="preserve">7.  CAMP integration hours</w:t>
      </w:r>
    </w:p>
    <w:p>
      <w:pPr>
        <w:spacing w:after="140" w:line="276"/>
      </w:pPr>
      <w:r>
        <w:rPr>
          <w:sz w:val="21"/>
          <w:szCs w:val="21"/>
        </w:rPr>
        <w:t xml:space="preserve">The scope narrative commits to connecting CAMP, but no line item carries CAMP hours. If the existing CAMP integration is untouched by Phase 2, please state that explicitly in the SOW so it can’t resurface as a change request. If Phase 2 does touch it, it needs an estimate.</w:t>
      </w:r>
    </w:p>
    <w:p>
      <w:pPr>
        <w:pStyle w:val="Heading2"/>
        <w:spacing w:after="120" w:before="260"/>
      </w:pPr>
      <w:r>
        <w:rPr>
          <w:b/>
          <w:bCs/>
          <w:color w:val="1F3864"/>
          <w:sz w:val="23"/>
          <w:szCs w:val="23"/>
        </w:rPr>
        <w:t xml:space="preserve">8.  Flight Attendant dashboard vs. Flight Calendar</w:t>
      </w:r>
    </w:p>
    <w:p>
      <w:pPr>
        <w:spacing w:after="140" w:line="276"/>
      </w:pPr>
      <w:r>
        <w:rPr>
          <w:sz w:val="21"/>
          <w:szCs w:val="21"/>
        </w:rPr>
        <w:t xml:space="preserve">Not in this phase’s scope, but relevant to how the deferred items get priced later. The quote lists these as two items — “FA Upcoming Flights Dashboard” (32 hrs, noted against /catering-tracker) and “Flight Calendar” (36 hrs, noted against /upcoming-flights).</w:t>
      </w:r>
    </w:p>
    <w:p>
      <w:pPr>
        <w:spacing w:after="140" w:line="276"/>
      </w:pPr>
      <w:r>
        <w:rPr>
          <w:sz w:val="21"/>
          <w:szCs w:val="21"/>
        </w:rPr>
        <w:t xml:space="preserve">In the prototype these are the same route and the same component, rendered with a different label and column set per role — “Upcoming Trips” for flight attendants, “Flight Calendar” for pilots. If that’s also the plan for the production build, the pair should cost less together than 68 hrs. Worth reconciling before the next phase is quoted.</w:t>
      </w:r>
    </w:p>
    <w:p>
      <w:pPr>
        <w:pStyle w:val="Heading2"/>
        <w:spacing w:after="120" w:before="260"/>
      </w:pPr>
      <w:r>
        <w:rPr>
          <w:b/>
          <w:bCs/>
          <w:color w:val="1F3864"/>
          <w:sz w:val="23"/>
          <w:szCs w:val="23"/>
        </w:rPr>
        <w:t xml:space="preserve">9.  Vacation request — one item or two?</w:t>
      </w:r>
    </w:p>
    <w:p>
      <w:pPr>
        <w:spacing w:after="140" w:line="276"/>
      </w:pPr>
      <w:r>
        <w:rPr>
          <w:sz w:val="21"/>
          <w:szCs w:val="21"/>
        </w:rPr>
        <w:t xml:space="preserve">We may have two separate needs here: fixes to the existing vacation request flow, and adding vacation request capability for the scheduling role. The quote carries one line at 12 hrs for the scheduling role. If fixes to the existing flow are also needed, please price them separately.</w:t>
      </w:r>
    </w:p>
    <w:p>
      <w:pPr>
        <w:pStyle w:val="Heading2"/>
        <w:spacing w:after="120" w:before="260"/>
      </w:pPr>
      <w:r>
        <w:rPr>
          <w:b/>
          <w:bCs/>
          <w:color w:val="1F3864"/>
          <w:sz w:val="23"/>
          <w:szCs w:val="23"/>
        </w:rPr>
        <w:t xml:space="preserve">10.  Payment milestones</w:t>
      </w:r>
    </w:p>
    <w:p>
      <w:pPr>
        <w:spacing w:after="140" w:line="276"/>
      </w:pPr>
      <w:r>
        <w:rPr>
          <w:sz w:val="21"/>
          <w:szCs w:val="21"/>
        </w:rPr>
        <w:t xml:space="preserve">The payment terms reference “completion of work deliverables within specified deliverable section above,” but the SOW doesn’t contain a deliverables or milestone section. Please add a milestone schedule with acceptance criteria that monthly invoicing can key against.</w:t>
      </w:r>
    </w:p>
    <w:p>
      <w:pPr>
        <w:pStyle w:val="Heading1"/>
        <w:spacing w:after="160" w:before="340"/>
      </w:pPr>
      <w:r>
        <w:rPr>
          <w:b/>
          <w:bCs/>
          <w:color w:val="1F3864"/>
          <w:sz w:val="28"/>
          <w:szCs w:val="28"/>
        </w:rPr>
        <w:t xml:space="preserve">Contract items (handled separately with P&amp;G Purchases)</w:t>
      </w:r>
    </w:p>
    <w:p>
      <w:pPr>
        <w:spacing w:after="140" w:line="276"/>
      </w:pPr>
      <w:r>
        <w:rPr>
          <w:sz w:val="21"/>
          <w:szCs w:val="21"/>
        </w:rPr>
        <w:t xml:space="preserve">These aren’t scope questions and don’t need a response in the revised quote — our purchasing and legal group will work them through the standard PO process. Listing them here so nothing is a surprise:</w:t>
      </w:r>
    </w:p>
    <w:p>
      <w:pPr>
        <w:pStyle w:val="ListParagraph"/>
        <w:numPr>
          <w:ilvl w:val="0"/>
          <w:numId w:val="3"/>
        </w:numPr>
        <w:spacing w:after="110" w:line="276"/>
      </w:pPr>
      <w:r>
        <w:rPr>
          <w:b/>
          <w:bCs/>
          <w:sz w:val="21"/>
          <w:szCs w:val="21"/>
        </w:rPr>
        <w:t xml:space="preserve">Intellectual property. </w:t>
      </w:r>
      <w:r>
        <w:rPr>
          <w:sz w:val="21"/>
          <w:szCs w:val="21"/>
        </w:rPr>
        <w:t xml:space="preserve">The SOW doesn’t contain a work-for-hire or IP assignment clause. Combined with the Integration clause (“supersedes all previous understandings and agreements”), it isn’t clear who owns the delivered code. This needs to be explicit.</w:t>
      </w:r>
    </w:p>
    <w:p>
      <w:pPr>
        <w:pStyle w:val="ListParagraph"/>
        <w:numPr>
          <w:ilvl w:val="0"/>
          <w:numId w:val="3"/>
        </w:numPr>
        <w:spacing w:after="110" w:line="276"/>
      </w:pPr>
      <w:r>
        <w:rPr>
          <w:b/>
          <w:bCs/>
          <w:sz w:val="21"/>
          <w:szCs w:val="21"/>
        </w:rPr>
        <w:t xml:space="preserve">Order of precedence. </w:t>
      </w:r>
      <w:r>
        <w:rPr>
          <w:sz w:val="21"/>
          <w:szCs w:val="21"/>
        </w:rPr>
        <w:t xml:space="preserve">The SOW specifies Ohio law, Cincinnati venue, and AAA arbitration, and also states twice that it is governed by the P&amp;G PO Terms and Conditions. Those will conflict. We need a precedence clause.</w:t>
      </w:r>
    </w:p>
    <w:p>
      <w:pPr>
        <w:pStyle w:val="ListParagraph"/>
        <w:numPr>
          <w:ilvl w:val="0"/>
          <w:numId w:val="3"/>
        </w:numPr>
        <w:spacing w:after="110" w:line="276"/>
      </w:pPr>
      <w:r>
        <w:rPr>
          <w:b/>
          <w:bCs/>
          <w:sz w:val="21"/>
          <w:szCs w:val="21"/>
        </w:rPr>
        <w:t xml:space="preserve">Warranty period typo. </w:t>
      </w:r>
      <w:r>
        <w:rPr>
          <w:sz w:val="21"/>
          <w:szCs w:val="21"/>
        </w:rPr>
        <w:t xml:space="preserve">Section 1(a) reads “a period of thirty (90) days” — the words and the numeral disagree. Since this is the sole-and-exclusive-remedy clause, it needs to be unambiguous. We’d also like the period to run from production go-live rather than delivery of services.</w:t>
      </w:r>
    </w:p>
    <w:p>
      <w:pPr>
        <w:pStyle w:val="ListParagraph"/>
        <w:numPr>
          <w:ilvl w:val="0"/>
          <w:numId w:val="3"/>
        </w:numPr>
        <w:spacing w:after="110" w:line="276"/>
      </w:pPr>
      <w:r>
        <w:rPr>
          <w:b/>
          <w:bCs/>
          <w:sz w:val="21"/>
          <w:szCs w:val="21"/>
        </w:rPr>
        <w:t xml:space="preserve">Data protection. </w:t>
      </w:r>
      <w:r>
        <w:rPr>
          <w:sz w:val="21"/>
          <w:szCs w:val="21"/>
        </w:rPr>
        <w:t xml:space="preserve">The application handles passenger information including dietary and allergy data, service notes, photographs, and executive travel patterns. A data protection addendum should accompany the PO.</w:t>
      </w:r>
    </w:p>
    <w:p>
      <w:pPr>
        <w:pStyle w:val="Heading1"/>
        <w:spacing w:after="160" w:before="340"/>
      </w:pPr>
      <w:r>
        <w:rPr>
          <w:b/>
          <w:bCs/>
          <w:color w:val="1F3864"/>
          <w:sz w:val="28"/>
          <w:szCs w:val="28"/>
        </w:rPr>
        <w:t xml:space="preserve">Assumptions</w:t>
      </w:r>
    </w:p>
    <w:p>
      <w:pPr>
        <w:pStyle w:val="ListParagraph"/>
        <w:numPr>
          <w:ilvl w:val="0"/>
          <w:numId w:val="2"/>
        </w:numPr>
        <w:spacing w:after="80" w:line="276"/>
      </w:pPr>
      <w:r>
        <w:rPr>
          <w:sz w:val="21"/>
          <w:szCs w:val="21"/>
        </w:rPr>
        <w:t xml:space="preserve">Pricing assumes $85/hr holds at reduced volume (see item 1). All figures above use $85.</w:t>
      </w:r>
    </w:p>
    <w:p>
      <w:pPr>
        <w:pStyle w:val="ListParagraph"/>
        <w:numPr>
          <w:ilvl w:val="0"/>
          <w:numId w:val="2"/>
        </w:numPr>
        <w:spacing w:after="80" w:line="276"/>
      </w:pPr>
      <w:r>
        <w:rPr>
          <w:sz w:val="21"/>
          <w:szCs w:val="21"/>
        </w:rPr>
        <w:t xml:space="preserve">The prototype repository continues to serve as the functional reference for the production build.</w:t>
      </w:r>
    </w:p>
    <w:p>
      <w:pPr>
        <w:pStyle w:val="ListParagraph"/>
        <w:numPr>
          <w:ilvl w:val="0"/>
          <w:numId w:val="2"/>
        </w:numPr>
        <w:spacing w:after="80" w:line="276"/>
      </w:pPr>
      <w:r>
        <w:rPr>
          <w:sz w:val="21"/>
          <w:szCs w:val="21"/>
        </w:rPr>
        <w:t xml:space="preserve">Timeline: we’d expect a shorter schedule than the 10–12 weeks quoted for full scope, but we recognize project coordination, governance support, and UAT don’t scale down proportionally. Please propose a revised timeline alongside the revised quote, and show fixed project overhead as a separate line rather than distributed across feature items.</w:t>
      </w:r>
    </w:p>
    <w:p>
      <w:pPr>
        <w:pStyle w:val="ListParagraph"/>
        <w:numPr>
          <w:ilvl w:val="0"/>
          <w:numId w:val="2"/>
        </w:numPr>
        <w:spacing w:after="80" w:line="276"/>
      </w:pPr>
      <w:r>
        <w:rPr>
          <w:sz w:val="21"/>
          <w:szCs w:val="21"/>
        </w:rPr>
        <w:t xml:space="preserve">Training, ongoing support, hosting, and cloud consumption remain excluded per the original quote. We’ll address support separately — Option 1 (flat monthly) is our likely preference.</w:t>
      </w:r>
    </w:p>
    <w:p>
      <w:pPr>
        <w:pStyle w:val="Heading1"/>
        <w:spacing w:after="160" w:before="340"/>
      </w:pPr>
      <w:r>
        <w:rPr>
          <w:b/>
          <w:bCs/>
          <w:color w:val="1F3864"/>
          <w:sz w:val="28"/>
          <w:szCs w:val="28"/>
        </w:rPr>
        <w:t xml:space="preserve">Requested next step</w:t>
      </w:r>
    </w:p>
    <w:p>
      <w:pPr>
        <w:spacing w:after="140" w:line="276"/>
      </w:pPr>
      <w:r>
        <w:rPr>
          <w:sz w:val="21"/>
          <w:szCs w:val="21"/>
        </w:rPr>
        <w:t xml:space="preserve">A revised quote reflecting the 513-hour scope, with the Tech Log broken into sub-items per section 2 and the rate confirmed per section 1. Happy to get on a call to walk through any of this if that’s faster.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2026-07-27T23:39:28.974Z</dcterms:created>
  <dcterms:modified xsi:type="dcterms:W3CDTF">2026-07-27T23:39:28.975Z</dcterms:modified>
</cp:coreProperties>
</file>

<file path=docProps/custom.xml><?xml version="1.0" encoding="utf-8"?>
<Properties xmlns="http://schemas.openxmlformats.org/officeDocument/2006/custom-properties" xmlns:vt="http://schemas.openxmlformats.org/officeDocument/2006/docPropsVTypes"/>
</file>