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b/>
          <w:bCs/>
          <w:color w:val="E8590C"/>
          <w:sz w:val="26"/>
          <w:szCs w:val="26"/>
        </w:rPr>
        <w:t xml:space="preserve">myGFO</w:t>
      </w:r>
    </w:p>
    <w:p>
      <w:pPr>
        <w:spacing w:after="60"/>
      </w:pPr>
      <w:r>
        <w:rPr>
          <w:rFonts w:ascii="Calibri" w:cs="Calibri" w:eastAsia="Calibri" w:hAnsi="Calibri"/>
          <w:color w:val="5A6472"/>
          <w:sz w:val="22"/>
          <w:szCs w:val="22"/>
        </w:rPr>
        <w:t xml:space="preserve">Global Flight Operations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10307C"/>
          <w:sz w:val="62"/>
          <w:szCs w:val="62"/>
        </w:rPr>
        <w:t xml:space="preserve">Director of Maintenance</w:t>
      </w:r>
    </w:p>
    <w:p>
      <w:pPr>
        <w:spacing w:after="300"/>
      </w:pPr>
      <w:r>
        <w:rPr>
          <w:rFonts w:ascii="Calibri" w:cs="Calibri" w:eastAsia="Calibri" w:hAnsi="Calibri"/>
          <w:color w:val="5A6472"/>
          <w:sz w:val="28"/>
          <w:szCs w:val="28"/>
        </w:rPr>
        <w:t xml:space="preserve">Training Guide — Manager Supplement</w:t>
      </w:r>
    </w:p>
    <w:p>
      <w:pPr>
        <w:pBdr>
          <w:bottom w:val="single" w:color="D6DAE2" w:sz="6" w:space="1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spacing w:after="260" w:line="288"/>
      </w:pPr>
      <w:r>
        <w:rPr>
          <w:rFonts w:ascii="Calibri" w:cs="Calibri" w:eastAsia="Calibri" w:hAnsi="Calibri"/>
          <w:sz w:val="22"/>
          <w:szCs w:val="22"/>
        </w:rPr>
        <w:t xml:space="preserve">Department-level oversight on top of the Maintenance role: approvals recorded against DOM authority, shop performance, and procurement exposure.</w:t>
      </w:r>
    </w:p>
    <w:tbl>
      <w:tblPr>
        <w:tblW w:type="dxa" w:w="9360"/>
        <w:tblBorders>
          <w:top w:val="single" w:color="FFF4EC" w:sz="2"/>
          <w:left w:val="single" w:color="E8590C" w:sz="18"/>
          <w:bottom w:val="single" w:color="FFF4EC" w:sz="2"/>
          <w:right w:val="single" w:color="FFF4E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C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E8590C"/>
                <w:sz w:val="17"/>
                <w:szCs w:val="17"/>
              </w:rPr>
              <w:t xml:space="preserve">READ THIS FIRST</w:t>
            </w:r>
          </w:p>
          <w:p>
            <w:pPr>
              <w:spacing w:after="110" w:line="276"/>
            </w:pPr>
            <w:r>
              <w:rPr>
                <w:rFonts w:ascii="Calibri" w:cs="Calibri" w:eastAsia="Calibri" w:hAnsi="Calibri"/>
                <w:color w:val="2A2F3A"/>
                <w:sz w:val="20"/>
                <w:szCs w:val="20"/>
              </w:rPr>
              <w:t xml:space="preserve">This is a supplement. It covers only what is additional to the Maintenance role.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A2F3A"/>
                <w:sz w:val="20"/>
                <w:szCs w:val="20"/>
              </w:rPr>
              <w:t xml:space="preserve">Read the Maintenance training guide before this one — the shared workflows are documented there and are not repeated here.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F2F5FA" w:sz="2"/>
          <w:left w:val="single" w:color="10307C" w:sz="18"/>
          <w:bottom w:val="single" w:color="F2F5FA" w:sz="2"/>
          <w:right w:val="single" w:color="F2F5F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A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10307C"/>
                <w:sz w:val="17"/>
                <w:szCs w:val="17"/>
              </w:rPr>
              <w:t xml:space="preserve">WHO THIS IS FOR</w:t>
            </w:r>
          </w:p>
          <w:p>
            <w:pPr>
              <w:spacing w:after="110" w:line="276"/>
            </w:pPr>
            <w:r>
              <w:rPr>
                <w:rFonts w:ascii="Calibri" w:cs="Calibri" w:eastAsia="Calibri" w:hAnsi="Calibri"/>
                <w:color w:val="2A2F3A"/>
                <w:sz w:val="20"/>
                <w:szCs w:val="20"/>
              </w:rPr>
              <w:t xml:space="preserve">Director of Maintenance.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A2F3A"/>
                <w:sz w:val="20"/>
                <w:szCs w:val="20"/>
              </w:rPr>
              <w:t xml:space="preserve">Read the Maintenance guide first for the underlying pages. This covers how you read them differently.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F2F5FA" w:sz="2"/>
          <w:left w:val="single" w:color="10307C" w:sz="18"/>
          <w:bottom w:val="single" w:color="F2F5FA" w:sz="2"/>
          <w:right w:val="single" w:color="F2F5F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A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10307C"/>
                <w:sz w:val="17"/>
                <w:szCs w:val="17"/>
              </w:rPr>
              <w:t xml:space="preserve">SCOPE OF THIS GUIDE</w:t>
            </w:r>
          </w:p>
          <w:p>
            <w:pPr>
              <w:spacing w:after="110" w:line="276"/>
            </w:pPr>
            <w:r>
              <w:rPr>
                <w:rFonts w:ascii="Calibri" w:cs="Calibri" w:eastAsia="Calibri" w:hAnsi="Calibri"/>
                <w:color w:val="2A2F3A"/>
                <w:sz w:val="20"/>
                <w:szCs w:val="20"/>
              </w:rPr>
              <w:t xml:space="preserve">This guide covers the day-to-day myGFO screens for this role. Three modules are documented separately and are deliberately not covered here: the Tech Log, Irregularity Reports (FIR), and the Scheduling Command Center. The Safety module is also out of scope — it is not in service yet.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A2F3A"/>
                <w:sz w:val="20"/>
                <w:szCs w:val="20"/>
              </w:rPr>
              <w:t xml:space="preserve">You will still see those items in your sidebar. Ignore them for the purposes of this guide.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0307C"/>
          <w:sz w:val="30"/>
          <w:szCs w:val="30"/>
        </w:rPr>
        <w:t xml:space="preserve">Getting started</w:t>
      </w:r>
    </w:p>
    <w:p>
      <w:pPr>
        <w:spacing w:after="200" w:line="288"/>
      </w:pPr>
      <w:r>
        <w:rPr>
          <w:rFonts w:ascii="Calibri" w:cs="Calibri" w:eastAsia="Calibri" w:hAnsi="Calibri"/>
          <w:i/>
          <w:iCs/>
          <w:color w:val="5A6472"/>
          <w:sz w:val="21"/>
          <w:szCs w:val="21"/>
        </w:rPr>
        <w:t xml:space="preserve">Screenshots in this guide come from the myGFO prototype running on demo data. Tail numbers, names, dates and counts are illustrative — the screen layout, buttons and workflow are what matter.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307C"/>
          <w:sz w:val="25"/>
          <w:szCs w:val="25"/>
        </w:rPr>
        <w:t xml:space="preserve">Where you land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Your sidebar is the full Maintenance set. This guide covers the pages you will actually live in.</w:t>
      </w:r>
    </w:p>
    <w:p>
      <w:pPr>
        <w:spacing w:after="200" w:line="28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 door: Maintenance workspace.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0307C"/>
          <w:sz w:val="25"/>
          <w:szCs w:val="25"/>
        </w:rPr>
        <w:t xml:space="preserve">Your additional pages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These are the pages this supplement covers. Your sidebar also carries everything documented in the Maintenance guide.</w:t>
      </w:r>
    </w:p>
    <w:tbl>
      <w:tblPr>
        <w:tblW w:type="dxa" w:w="9360"/>
        <w:tblBorders>
          <w:top w:val="single" w:color="D6DAE2" w:sz="2"/>
          <w:left w:val="single" w:color="D6DAE2" w:sz="2"/>
          <w:bottom w:val="single" w:color="D6DAE2" w:sz="2"/>
          <w:right w:val="single" w:color="D6DAE2" w:sz="2"/>
          <w:insideH w:val="single" w:color="D6DAE2" w:sz="2"/>
          <w:insideV w:val="single" w:color="D6DAE2" w:sz="2"/>
        </w:tblBorders>
      </w:tblPr>
      <w:tblGrid>
        <w:gridCol w:w="2808"/>
        <w:gridCol w:w="1685"/>
        <w:gridCol w:w="4867"/>
      </w:tblGrid>
      <w:tr>
        <w:trPr>
          <w:tblHeader/>
        </w:trPr>
        <w:tc>
          <w:tcPr>
            <w:tcW w:type="dxa" w:w="2808"/>
            <w:shd w:fill="10307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685"/>
            <w:shd w:fill="10307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Sidebar group</w:t>
            </w:r>
          </w:p>
        </w:tc>
        <w:tc>
          <w:tcPr>
            <w:tcW w:type="dxa" w:w="4867"/>
            <w:shd w:fill="10307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is for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Approvals</w:t>
            </w:r>
          </w:p>
        </w:tc>
        <w:tc>
          <w:tcPr>
            <w:tcW w:type="dxa" w:w="168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Home</w:t>
            </w:r>
          </w:p>
        </w:tc>
        <w:tc>
          <w:tcPr>
            <w:tcW w:type="dxa" w:w="486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Requests routed to you as Director of Maintenance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Work Analytics</w:t>
            </w:r>
          </w:p>
        </w:tc>
        <w:tc>
          <w:tcPr>
            <w:tcW w:type="dxa" w:w="168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486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Shop capacity, throughput and completion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Parts Inventory</w:t>
            </w:r>
          </w:p>
        </w:tc>
        <w:tc>
          <w:tcPr>
            <w:tcW w:type="dxa" w:w="168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486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Inventory value, purchase orders and vendors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Turndown Reports</w:t>
            </w:r>
          </w:p>
        </w:tc>
        <w:tc>
          <w:tcPr>
            <w:tcW w:type="dxa" w:w="168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486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Shift report history across the department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Vehicles</w:t>
            </w:r>
          </w:p>
        </w:tc>
        <w:tc>
          <w:tcPr>
            <w:tcW w:type="dxa" w:w="168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486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Vehicle fleet state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Airport Services</w:t>
            </w:r>
          </w:p>
        </w:tc>
        <w:tc>
          <w:tcPr>
            <w:tcW w:type="dxa" w:w="168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486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Evaluation expiry against upcoming flights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Document Center</w:t>
            </w:r>
          </w:p>
        </w:tc>
        <w:tc>
          <w:tcPr>
            <w:tcW w:type="dxa" w:w="168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Documents</w:t>
            </w:r>
          </w:p>
        </w:tc>
        <w:tc>
          <w:tcPr>
            <w:tcW w:type="dxa" w:w="486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A2F3A"/>
                <w:sz w:val="19"/>
                <w:szCs w:val="19"/>
              </w:rPr>
              <w:t xml:space="preserve">Controlled publications and your required reads</w:t>
            </w:r>
          </w:p>
        </w:tc>
      </w:tr>
    </w:tbl>
    <w:p>
      <w:pPr>
        <w:spacing w:after="24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0307C"/>
          <w:sz w:val="30"/>
          <w:szCs w:val="30"/>
        </w:rPr>
        <w:t xml:space="preserve">What is different about your sign-in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Choose Director of Maintenance in the role picker. Your sidebar is the full Maintenance set, and Approvals carries your department-level authority.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The pages are the ones described in the Maintenance guide. This supplement covers what you are reading them for.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0307C"/>
          <w:sz w:val="30"/>
          <w:szCs w:val="30"/>
        </w:rPr>
        <w:t xml:space="preserve">Approvals as Director of Maintenance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Requests routed to the DOM arrive in the Approvals inbox and your decision is recorded against that authority.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Two rules are enforced by the system rather than left to discipline, and they are worth knowing because they will occasionally block you. A release to service cannot be committed by a signer with no A&amp;P certificate number on file. And on work requiring a required inspection, the same person cannot be both the performer and the inspector.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If either blocks a sign-off, the fix is the underlying record — a missing certificate number, or a second person — not a workaround.</w:t>
      </w:r>
    </w:p>
    <w:p>
      <w:pPr>
        <w:spacing w:after="60" w:before="140"/>
        <w:jc w:val="center"/>
      </w:pPr>
      <w:r>
        <w:drawing>
          <wp:inline distT="0" distB="0" distL="0" distR="0">
            <wp:extent cx="59436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The Approvals inbox, acting as Director of Maintenance.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8940"/>
      </w:tblGrid>
      <w:tr>
        <w:tc>
          <w:tcPr>
            <w:tcW w:type="dxa" w:w="42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8590C"/>
                <w:sz w:val="21"/>
                <w:szCs w:val="21"/>
              </w:rPr>
              <w:t xml:space="preserve">1</w:t>
            </w:r>
          </w:p>
        </w:tc>
        <w:tc>
          <w:tcPr>
            <w:tcW w:type="dxa" w:w="894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A2F3A"/>
                <w:sz w:val="20"/>
                <w:szCs w:val="20"/>
              </w:rPr>
              <w:t xml:space="preserve">The page states the role you are acting as. Your decision is recorded against DOM authority.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0307C"/>
          <w:sz w:val="30"/>
          <w:szCs w:val="30"/>
        </w:rPr>
        <w:t xml:space="preserve">Shop performance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Work Analytics is your capacity and throughput view. Set the period, then read the shop as a whole before filtering to individuals.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Performance Metrics is the section that answers management questions: average completion time, hours per work order, and completion rate. Work by Category shows the Major / Minor / Ancillary split — if ancillary work is consuming a growing share, that is a resourcing conversation rather than a performance one.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Filtering by technician shows individual load, which is useful for spotting an unbalanced shop. Be careful reading it as productivity: a technician carrying the difficult work will show worse raw numbers than one carrying routine items.</w:t>
      </w:r>
    </w:p>
    <w:p>
      <w:pPr>
        <w:spacing w:after="60" w:before="140"/>
        <w:jc w:val="center"/>
      </w:pPr>
      <w:r>
        <w:drawing>
          <wp:inline distT="0" distB="0" distL="0" distR="0">
            <wp:extent cx="59436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Work Analytics across the department.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8940"/>
      </w:tblGrid>
      <w:tr>
        <w:tc>
          <w:tcPr>
            <w:tcW w:type="dxa" w:w="42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8590C"/>
                <w:sz w:val="21"/>
                <w:szCs w:val="21"/>
              </w:rPr>
              <w:t xml:space="preserve">1</w:t>
            </w:r>
          </w:p>
        </w:tc>
        <w:tc>
          <w:tcPr>
            <w:tcW w:type="dxa" w:w="894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A2F3A"/>
                <w:sz w:val="20"/>
                <w:szCs w:val="20"/>
              </w:rPr>
              <w:t xml:space="preserve">Period selector — set this before reading anything else.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8940"/>
      </w:tblGrid>
      <w:tr>
        <w:tc>
          <w:tcPr>
            <w:tcW w:type="dxa" w:w="42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8590C"/>
                <w:sz w:val="21"/>
                <w:szCs w:val="21"/>
              </w:rPr>
              <w:t xml:space="preserve">2</w:t>
            </w:r>
          </w:p>
        </w:tc>
        <w:tc>
          <w:tcPr>
            <w:tcW w:type="dxa" w:w="894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A2F3A"/>
                <w:sz w:val="20"/>
                <w:szCs w:val="20"/>
              </w:rPr>
              <w:t xml:space="preserve">Technician filter. Start with All Technicians.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8940"/>
      </w:tblGrid>
      <w:tr>
        <w:tc>
          <w:tcPr>
            <w:tcW w:type="dxa" w:w="42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8590C"/>
                <w:sz w:val="21"/>
                <w:szCs w:val="21"/>
              </w:rPr>
              <w:t xml:space="preserve">3</w:t>
            </w:r>
          </w:p>
        </w:tc>
        <w:tc>
          <w:tcPr>
            <w:tcW w:type="dxa" w:w="894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A2F3A"/>
                <w:sz w:val="20"/>
                <w:szCs w:val="20"/>
              </w:rPr>
              <w:t xml:space="preserve">Performance Metrics — completion time, hours per work order, completion rate.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8940"/>
      </w:tblGrid>
      <w:tr>
        <w:tc>
          <w:tcPr>
            <w:tcW w:type="dxa" w:w="42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8590C"/>
                <w:sz w:val="21"/>
                <w:szCs w:val="21"/>
              </w:rPr>
              <w:t xml:space="preserve">4</w:t>
            </w:r>
          </w:p>
        </w:tc>
        <w:tc>
          <w:tcPr>
            <w:tcW w:type="dxa" w:w="894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A2F3A"/>
                <w:sz w:val="20"/>
                <w:szCs w:val="20"/>
              </w:rPr>
              <w:t xml:space="preserve">Work by Category — where the effort actually went.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0307C"/>
          <w:sz w:val="30"/>
          <w:szCs w:val="30"/>
        </w:rPr>
        <w:t xml:space="preserve">Procurement exposure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On Parts Inventory the counters carry your commercial picture: total inventory value, how many parts are low or out of stock, and how many orders are awaiting delivery.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Purchase Orders and Vendors are the tabs to work from at department level. An out-of-stock part with no purchase order behind it is the exposure worth finding — the Stock Alerts tab surfaces those.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The myCMP connection state and last sync time are printed at the top of the page. A stale sync means the figures below it are stale too; check it before quoting a number.</w:t>
      </w:r>
    </w:p>
    <w:p>
      <w:pPr>
        <w:spacing w:after="60" w:before="140"/>
        <w:jc w:val="center"/>
      </w:pPr>
      <w:r>
        <w:drawing>
          <wp:inline distT="0" distB="0" distL="0" distR="0">
            <wp:extent cx="59436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5A6472"/>
          <w:sz w:val="18"/>
          <w:szCs w:val="18"/>
        </w:rPr>
        <w:t xml:space="preserve">Parts Inventory, read at department level.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8940"/>
      </w:tblGrid>
      <w:tr>
        <w:tc>
          <w:tcPr>
            <w:tcW w:type="dxa" w:w="42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8590C"/>
                <w:sz w:val="21"/>
                <w:szCs w:val="21"/>
              </w:rPr>
              <w:t xml:space="preserve">1</w:t>
            </w:r>
          </w:p>
        </w:tc>
        <w:tc>
          <w:tcPr>
            <w:tcW w:type="dxa" w:w="894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A2F3A"/>
                <w:sz w:val="20"/>
                <w:szCs w:val="20"/>
              </w:rPr>
              <w:t xml:space="preserve">Total inventory value.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8940"/>
      </w:tblGrid>
      <w:tr>
        <w:tc>
          <w:tcPr>
            <w:tcW w:type="dxa" w:w="42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8590C"/>
                <w:sz w:val="21"/>
                <w:szCs w:val="21"/>
              </w:rPr>
              <w:t xml:space="preserve">2</w:t>
            </w:r>
          </w:p>
        </w:tc>
        <w:tc>
          <w:tcPr>
            <w:tcW w:type="dxa" w:w="894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A2F3A"/>
                <w:sz w:val="20"/>
                <w:szCs w:val="20"/>
              </w:rPr>
              <w:t xml:space="preserve">Purchase Orders — what is on order and when it lands.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8940"/>
      </w:tblGrid>
      <w:tr>
        <w:tc>
          <w:tcPr>
            <w:tcW w:type="dxa" w:w="420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E8590C"/>
                <w:sz w:val="21"/>
                <w:szCs w:val="21"/>
              </w:rPr>
              <w:t xml:space="preserve">3</w:t>
            </w:r>
          </w:p>
        </w:tc>
        <w:tc>
          <w:tcPr>
            <w:tcW w:type="dxa" w:w="894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A2F3A"/>
                <w:sz w:val="20"/>
                <w:szCs w:val="20"/>
              </w:rPr>
              <w:t xml:space="preserve">Vendors.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0307C"/>
          <w:sz w:val="30"/>
          <w:szCs w:val="30"/>
        </w:rPr>
        <w:t xml:space="preserve">Departmental record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Turndown Reports gives you the department’s daily record, filterable by date, shift and technician. Read it for consistency of reporting as much as for content — a shift that files thin reports is a gap in the record, and the next shift inherits it.</w:t>
      </w:r>
    </w:p>
    <w:p>
      <w:pPr>
        <w:spacing w:after="140" w:line="288"/>
      </w:pPr>
      <w:r>
        <w:rPr>
          <w:rFonts w:ascii="Calibri" w:cs="Calibri" w:eastAsia="Calibri" w:hAnsi="Calibri"/>
          <w:sz w:val="21"/>
          <w:szCs w:val="21"/>
        </w:rPr>
        <w:t xml:space="preserve">Airport Services matters at your level for the same reason it matters to a technician, but with the budget attached: overdue evaluations against upcoming flights are commitments the department has already made without the supporting assessment.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AE2" w:sz="4" w:space="8"/>
      </w:pBdr>
      <w:jc w:val="center"/>
    </w:pPr>
    <w:r>
      <w:rPr>
        <w:rFonts w:ascii="Calibri" w:cs="Calibri" w:eastAsia="Calibri" w:hAnsi="Calibri"/>
        <w:color w:val="5A6472"/>
        <w:sz w:val="16"/>
        <w:szCs w:val="16"/>
      </w:rPr>
      <w:t xml:space="preserve">myGFO — Director of Maintenance Training Guide   ·  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4e07400fb64e684c4db01bcc36753e53231490f.png"/><Relationship Id="rId9" Type="http://schemas.openxmlformats.org/officeDocument/2006/relationships/image" Target="media/f26baf84af4e34485063feb71389452980ead49d.png"/><Relationship Id="rId10" Type="http://schemas.openxmlformats.org/officeDocument/2006/relationships/image" Target="media/9618f2e8de7a8c713443eef6a539c445f8028e2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myGFO Director of Maintenance Training Guide</dc:title>
  <dc:creator>myGFO</dc:creator>
  <dc:description>Department-level oversight on top of the Maintenance role: approvals recorded against DOM authority, shop performance, and procurement exposure.</dc:description>
  <cp:lastModifiedBy>Un-named</cp:lastModifiedBy>
  <cp:revision>1</cp:revision>
  <dcterms:created xsi:type="dcterms:W3CDTF">2026-08-13T05:18:43.247Z</dcterms:created>
  <dcterms:modified xsi:type="dcterms:W3CDTF">2026-08-13T05:18:43.247Z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