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rFonts w:ascii="Calibri" w:cs="Calibri" w:eastAsia="Calibri" w:hAnsi="Calibri"/>
          <w:b/>
          <w:bCs/>
          <w:color w:val="E8590C"/>
          <w:sz w:val="26"/>
          <w:szCs w:val="26"/>
        </w:rPr>
        <w:t xml:space="preserve">myGFO</w:t>
      </w:r>
    </w:p>
    <w:p>
      <w:pPr>
        <w:spacing w:after="60"/>
      </w:pPr>
      <w:r>
        <w:rPr>
          <w:rFonts w:ascii="Calibri" w:cs="Calibri" w:eastAsia="Calibri" w:hAnsi="Calibri"/>
          <w:color w:val="5A6472"/>
          <w:sz w:val="22"/>
          <w:szCs w:val="22"/>
        </w:rPr>
        <w:t xml:space="preserve">Global Flight Operations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10307C"/>
          <w:sz w:val="62"/>
          <w:szCs w:val="62"/>
        </w:rPr>
        <w:t xml:space="preserve">Director of Maintenance</w:t>
      </w:r>
    </w:p>
    <w:p>
      <w:pPr>
        <w:spacing w:after="300"/>
      </w:pPr>
      <w:r>
        <w:rPr>
          <w:rFonts w:ascii="Calibri" w:cs="Calibri" w:eastAsia="Calibri" w:hAnsi="Calibri"/>
          <w:color w:val="5A6472"/>
          <w:sz w:val="28"/>
          <w:szCs w:val="28"/>
        </w:rPr>
        <w:t xml:space="preserve">Training Guide — Manager Supplement</w:t>
      </w:r>
    </w:p>
    <w:p>
      <w:pPr>
        <w:pBdr>
          <w:bottom w:val="single" w:color="D6DAE2" w:sz="6" w:space="1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260" w:line="288"/>
      </w:pPr>
      <w:r>
        <w:rPr>
          <w:rFonts w:ascii="Calibri" w:cs="Calibri" w:eastAsia="Calibri" w:hAnsi="Calibri"/>
          <w:sz w:val="22"/>
          <w:szCs w:val="22"/>
        </w:rPr>
        <w:t xml:space="preserve">Department-level oversight on top of the Maintenance role: approvals recorded against DOM authority, shop performance, and procurement exposure.</w:t>
      </w:r>
    </w:p>
    <w:tbl>
      <w:tblPr>
        <w:tblW w:type="dxa" w:w="9360"/>
        <w:tblBorders>
          <w:top w:val="single" w:color="FFF4EC" w:sz="2"/>
          <w:left w:val="single" w:color="E8590C" w:sz="18"/>
          <w:bottom w:val="single" w:color="FFF4EC" w:sz="2"/>
          <w:right w:val="single" w:color="FFF4EC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70"/>
              <w:left w:type="dxa" w:w="200"/>
              <w:bottom w:type="dxa" w:w="170"/>
              <w:right w:type="dxa" w:w="20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17"/>
                <w:szCs w:val="17"/>
              </w:rPr>
              <w:t xml:space="preserve">READ THIS FIRST</w:t>
            </w:r>
          </w:p>
          <w:p>
            <w:pPr>
              <w:spacing w:after="11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This is a supplement. It covers only what is additional to the Maintenance role.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Read the Maintenance training guide before this one — the shared workflows are documented there and are not repeated here.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F2F5FA" w:sz="2"/>
          <w:left w:val="single" w:color="10307C" w:sz="18"/>
          <w:bottom w:val="single" w:color="F2F5FA" w:sz="2"/>
          <w:right w:val="single" w:color="F2F5F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5FA" w:color="auto" w:val="clear"/>
            <w:tcMar>
              <w:top w:type="dxa" w:w="170"/>
              <w:left w:type="dxa" w:w="200"/>
              <w:bottom w:type="dxa" w:w="170"/>
              <w:right w:type="dxa" w:w="20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10307C"/>
                <w:sz w:val="17"/>
                <w:szCs w:val="17"/>
              </w:rPr>
              <w:t xml:space="preserve">WHO THIS IS FOR</w:t>
            </w:r>
          </w:p>
          <w:p>
            <w:pPr>
              <w:spacing w:after="11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Director of Maintenance.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Read the Maintenance guide first for the underlying pages. This covers how you read them differently.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F2F5FA" w:sz="2"/>
          <w:left w:val="single" w:color="10307C" w:sz="18"/>
          <w:bottom w:val="single" w:color="F2F5FA" w:sz="2"/>
          <w:right w:val="single" w:color="F2F5F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5FA" w:color="auto" w:val="clear"/>
            <w:tcMar>
              <w:top w:type="dxa" w:w="170"/>
              <w:left w:type="dxa" w:w="200"/>
              <w:bottom w:type="dxa" w:w="170"/>
              <w:right w:type="dxa" w:w="20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10307C"/>
                <w:sz w:val="17"/>
                <w:szCs w:val="17"/>
              </w:rPr>
              <w:t xml:space="preserve">SCOPE OF THIS GUIDE</w:t>
            </w:r>
          </w:p>
          <w:p>
            <w:pPr>
              <w:spacing w:after="11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This guide covers the day-to-day myGFO screens for this role. Three modules are documented separately and are deliberately not covered here: the Tech Log, Irregularity Reports (FIR), and the Scheduling Command Center. The Safety module is also out of scope — it is not in service yet.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You will still see those items in your sidebar. Ignore them for the purposes of this guide.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0307C"/>
          <w:sz w:val="30"/>
          <w:szCs w:val="30"/>
        </w:rPr>
        <w:t xml:space="preserve">Getting started</w:t>
      </w:r>
    </w:p>
    <w:p>
      <w:pPr>
        <w:spacing w:after="200" w:line="288"/>
      </w:pPr>
      <w:r>
        <w:rPr>
          <w:rFonts w:ascii="Calibri" w:cs="Calibri" w:eastAsia="Calibri" w:hAnsi="Calibri"/>
          <w:i/>
          <w:iCs/>
          <w:color w:val="5A6472"/>
          <w:sz w:val="21"/>
          <w:szCs w:val="21"/>
        </w:rPr>
        <w:t xml:space="preserve">Screenshots in this guide come from the myGFO prototype running on demo data. Tail numbers, names, dates and counts are illustrative — the screen layout, buttons and workflow are what matter.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0307C"/>
          <w:sz w:val="25"/>
          <w:szCs w:val="25"/>
        </w:rPr>
        <w:t xml:space="preserve">Where you land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Your sidebar is the full Maintenance set. This guide covers the pages you will actually live in.</w:t>
      </w:r>
    </w:p>
    <w:p>
      <w:pPr>
        <w:spacing w:after="200" w:line="288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 door: Maintenance workspace.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0307C"/>
          <w:sz w:val="25"/>
          <w:szCs w:val="25"/>
        </w:rPr>
        <w:t xml:space="preserve">Your additional pages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These are the pages this supplement covers. Your sidebar also carries everything documented in the Maintenance guide.</w:t>
      </w:r>
    </w:p>
    <w:tbl>
      <w:tblPr>
        <w:tblW w:type="dxa" w:w="9360"/>
        <w:tblBorders>
          <w:top w:val="single" w:color="D6DAE2" w:sz="2"/>
          <w:left w:val="single" w:color="D6DAE2" w:sz="2"/>
          <w:bottom w:val="single" w:color="D6DAE2" w:sz="2"/>
          <w:right w:val="single" w:color="D6DAE2" w:sz="2"/>
          <w:insideH w:val="single" w:color="D6DAE2" w:sz="2"/>
          <w:insideV w:val="single" w:color="D6DAE2" w:sz="2"/>
        </w:tblBorders>
      </w:tblPr>
      <w:tblGrid>
        <w:gridCol w:w="2808"/>
        <w:gridCol w:w="1685"/>
        <w:gridCol w:w="4867"/>
      </w:tblGrid>
      <w:tr>
        <w:trPr>
          <w:tblHeader/>
        </w:trPr>
        <w:tc>
          <w:tcPr>
            <w:tcW w:type="dxa" w:w="2808"/>
            <w:shd w:fill="10307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</w:t>
            </w:r>
          </w:p>
        </w:tc>
        <w:tc>
          <w:tcPr>
            <w:tcW w:type="dxa" w:w="1685"/>
            <w:shd w:fill="10307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Sidebar group</w:t>
            </w:r>
          </w:p>
        </w:tc>
        <w:tc>
          <w:tcPr>
            <w:tcW w:type="dxa" w:w="4867"/>
            <w:shd w:fill="10307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</w:tr>
      <w:tr>
        <w:tc>
          <w:tcPr>
            <w:tcW w:type="dxa" w:w="280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Approvals</w:t>
            </w:r>
          </w:p>
        </w:tc>
        <w:tc>
          <w:tcPr>
            <w:tcW w:type="dxa" w:w="1685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Home</w:t>
            </w:r>
          </w:p>
        </w:tc>
        <w:tc>
          <w:tcPr>
            <w:tcW w:type="dxa" w:w="4867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Requests routed to you as Director of Maintenance</w:t>
            </w:r>
          </w:p>
        </w:tc>
      </w:tr>
      <w:tr>
        <w:tc>
          <w:tcPr>
            <w:tcW w:type="dxa" w:w="280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Work Analytics</w:t>
            </w:r>
          </w:p>
        </w:tc>
        <w:tc>
          <w:tcPr>
            <w:tcW w:type="dxa" w:w="1685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Maintenance</w:t>
            </w:r>
          </w:p>
        </w:tc>
        <w:tc>
          <w:tcPr>
            <w:tcW w:type="dxa" w:w="4867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Shop capacity, throughput and completion</w:t>
            </w:r>
          </w:p>
        </w:tc>
      </w:tr>
      <w:tr>
        <w:tc>
          <w:tcPr>
            <w:tcW w:type="dxa" w:w="280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Parts Inventory</w:t>
            </w:r>
          </w:p>
        </w:tc>
        <w:tc>
          <w:tcPr>
            <w:tcW w:type="dxa" w:w="1685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Maintenance</w:t>
            </w:r>
          </w:p>
        </w:tc>
        <w:tc>
          <w:tcPr>
            <w:tcW w:type="dxa" w:w="4867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Inventory value, purchase orders and vendors</w:t>
            </w:r>
          </w:p>
        </w:tc>
      </w:tr>
      <w:tr>
        <w:tc>
          <w:tcPr>
            <w:tcW w:type="dxa" w:w="280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Turndown Reports</w:t>
            </w:r>
          </w:p>
        </w:tc>
        <w:tc>
          <w:tcPr>
            <w:tcW w:type="dxa" w:w="1685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Maintenance</w:t>
            </w:r>
          </w:p>
        </w:tc>
        <w:tc>
          <w:tcPr>
            <w:tcW w:type="dxa" w:w="4867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Shift report history across the department</w:t>
            </w:r>
          </w:p>
        </w:tc>
      </w:tr>
      <w:tr>
        <w:tc>
          <w:tcPr>
            <w:tcW w:type="dxa" w:w="280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Vehicles</w:t>
            </w:r>
          </w:p>
        </w:tc>
        <w:tc>
          <w:tcPr>
            <w:tcW w:type="dxa" w:w="1685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Maintenance</w:t>
            </w:r>
          </w:p>
        </w:tc>
        <w:tc>
          <w:tcPr>
            <w:tcW w:type="dxa" w:w="4867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Vehicle fleet state</w:t>
            </w:r>
          </w:p>
        </w:tc>
      </w:tr>
      <w:tr>
        <w:tc>
          <w:tcPr>
            <w:tcW w:type="dxa" w:w="280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Airport Services</w:t>
            </w:r>
          </w:p>
        </w:tc>
        <w:tc>
          <w:tcPr>
            <w:tcW w:type="dxa" w:w="1685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Maintenance</w:t>
            </w:r>
          </w:p>
        </w:tc>
        <w:tc>
          <w:tcPr>
            <w:tcW w:type="dxa" w:w="4867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Evaluation expiry against upcoming flights</w:t>
            </w:r>
          </w:p>
        </w:tc>
      </w:tr>
      <w:tr>
        <w:tc>
          <w:tcPr>
            <w:tcW w:type="dxa" w:w="280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Document Center</w:t>
            </w:r>
          </w:p>
        </w:tc>
        <w:tc>
          <w:tcPr>
            <w:tcW w:type="dxa" w:w="1685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Documents</w:t>
            </w:r>
          </w:p>
        </w:tc>
        <w:tc>
          <w:tcPr>
            <w:tcW w:type="dxa" w:w="4867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A2F3A"/>
                <w:sz w:val="19"/>
                <w:szCs w:val="19"/>
              </w:rPr>
              <w:t xml:space="preserve">Controlled publications and your required reads</w:t>
            </w:r>
          </w:p>
        </w:tc>
      </w:tr>
    </w:tbl>
    <w:p>
      <w:pPr>
        <w:spacing w:after="2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0307C"/>
          <w:sz w:val="30"/>
          <w:szCs w:val="30"/>
        </w:rPr>
        <w:t xml:space="preserve">What is different about your sign-in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Choose Director of Maintenance in the role picker. Your sidebar is the full Maintenance set, and Approvals carries your department-level authority.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The pages are the ones described in the Maintenance guide. This supplement covers what you are reading them for.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0307C"/>
          <w:sz w:val="30"/>
          <w:szCs w:val="30"/>
        </w:rPr>
        <w:t xml:space="preserve">Approvals as Director of Maintenance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Requests routed to the DOM arrive in the Approvals inbox and your decision is recorded against that authority.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Two rules are enforced by the system rather than left to discipline, and they are worth knowing because they will occasionally block you. A release to service cannot be committed by a signer with no A&amp;P certificate number on file. And on work requiring a required inspection, the same person cannot be both the performer and the inspector.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If either blocks a sign-off, the fix is the underlying record — a missing certificate number, or a second person — not a workaround.</w:t>
      </w:r>
    </w:p>
    <w:p>
      <w:pPr>
        <w:spacing w:after="60" w:before="140"/>
        <w:jc w:val="center"/>
      </w:pPr>
      <w:r>
        <w:drawing>
          <wp:inline distT="0" distB="0" distL="0" distR="0">
            <wp:extent cx="59436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The Approvals inbox, acting as Director of Maintenance.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1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The page states the role you are acting as. Your decision is recorded against DOM authority.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0307C"/>
          <w:sz w:val="30"/>
          <w:szCs w:val="30"/>
        </w:rPr>
        <w:t xml:space="preserve">Shop performance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Work Analytics is your capacity and throughput view. Set the period, then read the shop as a whole before filtering to individuals.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Performance Metrics is the section that answers management questions: average completion time, hours per work order, and completion rate. Work by Category shows the Major / Minor / Ancillary split — if ancillary work is consuming a growing share, that is a resourcing conversation rather than a performance one.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Filtering by technician shows individual load, which is useful for spotting an unbalanced shop. Be careful reading it as productivity: a technician carrying the difficult work will show worse raw numbers than one carrying routine items.</w:t>
      </w:r>
    </w:p>
    <w:p>
      <w:pPr>
        <w:spacing w:after="60" w:before="140"/>
        <w:jc w:val="center"/>
      </w:pPr>
      <w:r>
        <w:drawing>
          <wp:inline distT="0" distB="0" distL="0" distR="0">
            <wp:extent cx="59436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Work Analytics across the department.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1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Period selector — set this before reading anything else.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2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Technician filter. Start with All Technicians.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3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Performance Metrics — completion time, hours per work order, completion rate.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4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Work by Category — where the effort actually went.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0307C"/>
          <w:sz w:val="30"/>
          <w:szCs w:val="30"/>
        </w:rPr>
        <w:t xml:space="preserve">Procurement exposure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On Parts Inventory the counters carry your commercial picture: total inventory value, how many parts are low or out of stock, and how many orders are awaiting delivery.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Purchase Orders and Vendors are the tabs to work from at department level. An out-of-stock part with no purchase order behind it is the exposure worth finding — the Stock Alerts tab surfaces those.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The myCMP connection state and last sync time are printed at the top of the page. A stale sync means the figures below it are stale too; check it before quoting a number.</w:t>
      </w:r>
    </w:p>
    <w:p>
      <w:pPr>
        <w:spacing w:after="60" w:before="140"/>
        <w:jc w:val="center"/>
      </w:pPr>
      <w:r>
        <w:drawing>
          <wp:inline distT="0" distB="0" distL="0" distR="0">
            <wp:extent cx="59436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Parts Inventory, read at department level.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1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Total inventory value.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2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Purchase Orders — what is on order and when it lands.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"/>
        <w:gridCol w:w="8940"/>
      </w:tblGrid>
      <w:tr>
        <w:tc>
          <w:tcPr>
            <w:tcW w:type="dxa" w:w="42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8590C"/>
                <w:sz w:val="21"/>
                <w:szCs w:val="21"/>
              </w:rPr>
              <w:t xml:space="preserve">3</w:t>
            </w:r>
          </w:p>
        </w:tc>
        <w:tc>
          <w:tcPr>
            <w:tcW w:type="dxa" w:w="8940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2A2F3A"/>
                <w:sz w:val="20"/>
                <w:szCs w:val="20"/>
              </w:rPr>
              <w:t xml:space="preserve">Vendors.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0307C"/>
          <w:sz w:val="30"/>
          <w:szCs w:val="30"/>
        </w:rPr>
        <w:t xml:space="preserve">Departmental record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Turndown Reports gives you the department’s daily record, filterable by date, shift and technician. Read it for consistency of reporting as much as for content — a shift that files thin reports is a gap in the record, and the next shift inherits it.</w:t>
      </w:r>
    </w:p>
    <w:p>
      <w:pPr>
        <w:spacing w:after="140" w:line="288"/>
      </w:pPr>
      <w:r>
        <w:rPr>
          <w:rFonts w:ascii="Calibri" w:cs="Calibri" w:eastAsia="Calibri" w:hAnsi="Calibri"/>
          <w:sz w:val="21"/>
          <w:szCs w:val="21"/>
        </w:rPr>
        <w:t xml:space="preserve">Airport Services matters at your level for the same reason it matters to a technician, but with the budget attached: overdue evaluations against upcoming flights are commitments the department has already made without the supporting assessment.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AE2" w:sz="4" w:space="8"/>
      </w:pBdr>
      <w:jc w:val="center"/>
    </w:pPr>
    <w:r>
      <w:rPr>
        <w:rFonts w:ascii="Calibri" w:cs="Calibri" w:eastAsia="Calibri" w:hAnsi="Calibri"/>
        <w:color w:val="5A6472"/>
        <w:sz w:val="16"/>
        <w:szCs w:val="16"/>
      </w:rPr>
      <w:t xml:space="preserve">myGFO — Director of Maintenance Training Guide   ·   </w:t>
    </w:r>
    <w:r>
      <w:rPr>
        <w:rFonts w:ascii="Calibri" w:cs="Calibri" w:eastAsia="Calibri" w:hAnsi="Calibri"/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203b4220a1e1c11fde4fdfef8325ddac07be212.png"/><Relationship Id="rId9" Type="http://schemas.openxmlformats.org/officeDocument/2006/relationships/image" Target="media/f26baf84af4e34485063feb71389452980ead49d.png"/><Relationship Id="rId10" Type="http://schemas.openxmlformats.org/officeDocument/2006/relationships/image" Target="media/2a759aa56069e996138de7c71f2f5b8657852b6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myGFO Director of Maintenance Training Guide</dc:title>
  <dc:creator>myGFO</dc:creator>
  <dc:description>Department-level oversight on top of the Maintenance role: approvals recorded against DOM authority, shop performance, and procurement exposure.</dc:description>
  <cp:lastModifiedBy>Un-named</cp:lastModifiedBy>
  <cp:revision>1</cp:revision>
  <dcterms:created xsi:type="dcterms:W3CDTF">2026-08-13T05:28:36.430Z</dcterms:created>
  <dcterms:modified xsi:type="dcterms:W3CDTF">2026-08-13T05:28:36.430Z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