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a2332" w:val="clear"/>
            <w:tcMar>
              <w:top w:type="dxa" w:w="1440"/>
              <w:left w:type="dxa" w:w="1440"/>
              <w:bottom w:type="dxa" w:w="1000"/>
              <w:right w:type="dxa" w:w="1440"/>
            </w:tcMar>
          </w:tcPr>
          <w:p>
            <w:pPr>
              <w:jc w:val="left"/>
            </w:pPr>
            <w:r>
              <w:rPr>
                <w:rFonts w:ascii="Arial" w:cs="Arial" w:eastAsia="Arial" w:hAnsi="Arial"/>
                <w:b/>
                <w:bCs/>
                <w:color w:val="c8d1da"/>
                <w:spacing w:val="120"/>
                <w:sz w:val="24"/>
                <w:szCs w:val="24"/>
              </w:rPr>
              <w:t xml:space="preserve">PROMOTED SPORTS CONSULTANTS</w:t>
            </w:r>
          </w:p>
          <w:p>
            <w:pPr>
              <w:spacing w:after="200" w:before="200"/>
            </w:pPr>
            <w:r>
              <w:t xml:space="preserve"/>
            </w:r>
          </w:p>
          <w:p>
            <w:pPr>
              <w:jc w:val="left"/>
            </w:pPr>
            <w:r>
              <w:rPr>
                <w:rFonts w:ascii="Georgia" w:cs="Georgia" w:eastAsia="Georgia" w:hAnsi="Georgia"/>
                <w:color w:val="FFFFFF"/>
                <w:sz w:val="80"/>
                <w:szCs w:val="80"/>
              </w:rPr>
              <w:t xml:space="preserve">Brand Kit</w:t>
            </w:r>
          </w:p>
          <w:p>
            <w:pPr>
              <w:jc w:val="left"/>
            </w:pPr>
            <w:r>
              <w:rPr>
                <w:rFonts w:ascii="Arial" w:cs="Arial" w:eastAsia="Arial" w:hAnsi="Arial"/>
                <w:color w:val="c8d1da"/>
                <w:sz w:val="28"/>
                <w:szCs w:val="28"/>
              </w:rPr>
              <w:t xml:space="preserve">Visual identity, voice, and usage guidelines</w:t>
            </w:r>
          </w:p>
          <w:p>
            <w:pPr>
              <w:spacing w:after="200" w:before="200"/>
            </w:pPr>
            <w:r>
              <w:t xml:space="preserve"/>
            </w:r>
          </w:p>
        </w:tc>
      </w:tr>
      <w:tr>
        <w:tc>
          <w:tcPr>
            <w:tcW w:type="dxa" w:w="12240"/>
            <w:tcBorders>
              <w:top w:val="none" w:color="FFFFFF" w:sz="0"/>
              <w:left w:val="none" w:color="FFFFFF" w:sz="0"/>
              <w:bottom w:val="none" w:color="FFFFFF" w:sz="0"/>
              <w:right w:val="none" w:color="FFFFFF" w:sz="0"/>
            </w:tcBorders>
            <w:shd w:fill="d4a574" w:val="clear"/>
            <w:tcMar>
              <w:top w:type="dxa" w:w="60"/>
              <w:left w:type="dxa" w:w="0"/>
              <w:bottom w:type="dxa" w:w="60"/>
              <w:right w:type="dxa" w:w="0"/>
            </w:tcMar>
          </w:tcPr>
          <w:p>
            <w:r>
              <w:t xml:space="preserve"/>
            </w:r>
          </w:p>
        </w:tc>
      </w:tr>
      <w:tr>
        <w:tc>
          <w:tcPr>
            <w:tcW w:type="dxa" w:w="12240"/>
            <w:tcBorders>
              <w:top w:val="none" w:color="FFFFFF" w:sz="0"/>
              <w:left w:val="none" w:color="FFFFFF" w:sz="0"/>
              <w:bottom w:val="none" w:color="FFFFFF" w:sz="0"/>
              <w:right w:val="none" w:color="FFFFFF" w:sz="0"/>
            </w:tcBorders>
            <w:shd w:fill="f8f9fa" w:val="clear"/>
            <w:tcMar>
              <w:top w:type="dxa" w:w="600"/>
              <w:left w:type="dxa" w:w="1440"/>
              <w:bottom w:type="dxa" w:w="800"/>
              <w:right w:type="dxa" w:w="1440"/>
            </w:tcMar>
          </w:tcPr>
          <w:p>
            <w:r>
              <w:rPr>
                <w:rFonts w:ascii="Georgia" w:cs="Georgia" w:eastAsia="Georgia" w:hAnsi="Georgia"/>
                <w:i/>
                <w:iCs/>
                <w:color w:val="1a2332"/>
                <w:sz w:val="32"/>
                <w:szCs w:val="32"/>
              </w:rPr>
              <w:t xml:space="preserve">"Recruiting and club operations, redesigned for every sport."</w:t>
            </w:r>
          </w:p>
          <w:p>
            <w:pPr>
              <w:spacing w:after="200" w:before="200"/>
            </w:pPr>
            <w:r>
              <w:t xml:space="preserve"/>
            </w:r>
          </w:p>
          <w:p>
            <w:r>
              <w:rPr>
                <w:rFonts w:ascii="Arial" w:cs="Arial" w:eastAsia="Arial" w:hAnsi="Arial"/>
                <w:color w:val="2c3e50"/>
                <w:sz w:val="22"/>
                <w:szCs w:val="22"/>
              </w:rPr>
              <w:t xml:space="preserve">This document defines how the PSC brand looks, sounds, and behaves across all</w:t>
            </w:r>
          </w:p>
          <w:p>
            <w:r>
              <w:rPr>
                <w:rFonts w:ascii="Arial" w:cs="Arial" w:eastAsia="Arial" w:hAnsi="Arial"/>
                <w:color w:val="2c3e50"/>
                <w:sz w:val="22"/>
                <w:szCs w:val="22"/>
              </w:rPr>
              <w:t xml:space="preserve">surfaces — from the website to emails, social posts, and product interfaces.</w:t>
            </w:r>
          </w:p>
          <w:p>
            <w:pPr>
              <w:spacing w:after="400" w:before="400"/>
            </w:pPr>
            <w:r>
              <w:t xml:space="preserve"/>
            </w:r>
          </w:p>
          <w:p>
            <w:r>
              <w:rPr>
                <w:rFonts w:ascii="Arial" w:cs="Arial" w:eastAsia="Arial" w:hAnsi="Arial"/>
                <w:color w:val="6b7280"/>
                <w:sz w:val="20"/>
                <w:szCs w:val="20"/>
              </w:rPr>
              <w:t xml:space="preserve">Version 1.0  ·  May 2026</w:t>
            </w:r>
          </w:p>
        </w:tc>
      </w:tr>
    </w:tbl>
    <w:p>
      <w:pPr>
        <w:sectPr>
          <w:pgSz w:w="12240" w:h="15840" w:orient="portrait"/>
          <w:pgMar w:top="0" w:right="0" w:bottom="0" w:left="0" w:header="708" w:footer="708" w:gutter="0"/>
          <w:pgNumType/>
          <w:docGrid w:linePitch="360"/>
        </w:sectPr>
      </w:pPr>
    </w:p>
    <w:p>
      <w:pPr>
        <w:spacing w:after="80" w:before="480"/>
      </w:pPr>
      <w:r>
        <w:rPr>
          <w:rFonts w:ascii="Arial" w:cs="Arial" w:eastAsia="Arial" w:hAnsi="Arial"/>
          <w:b/>
          <w:bCs/>
          <w:color w:val="6b7280"/>
          <w:spacing w:val="120"/>
          <w:sz w:val="16"/>
          <w:szCs w:val="16"/>
        </w:rPr>
        <w:t xml:space="preserve">01 — BRAND OVERVIEW</w:t>
      </w:r>
    </w:p>
    <w:p>
      <w:pPr>
        <w:pStyle w:val="Heading1"/>
        <w:spacing w:after="160" w:before="0"/>
      </w:pPr>
      <w:r>
        <w:rPr>
          <w:rFonts w:ascii="Georgia" w:cs="Georgia" w:eastAsia="Georgia" w:hAnsi="Georgia"/>
          <w:b w:val="false"/>
          <w:bCs w:val="false"/>
          <w:color w:val="1a2332"/>
          <w:sz w:val="40"/>
          <w:szCs w:val="40"/>
        </w:rPr>
        <w:t xml:space="preserve">Who We Are</w:t>
      </w:r>
    </w:p>
    <w:p>
      <w:pPr>
        <w:pBdr>
          <w:bottom w:val="single" w:color="1a2332" w:sz="12" w:space="1"/>
        </w:pBdr>
        <w:spacing w:after="240" w:before="40"/>
      </w:pPr>
      <w:r>
        <w:t xml:space="preserve"/>
      </w:r>
    </w:p>
    <w:p>
      <w:pPr>
        <w:spacing w:after="120" w:before="0"/>
      </w:pPr>
      <w:r>
        <w:rPr>
          <w:rFonts w:ascii="Arial" w:cs="Arial" w:eastAsia="Arial" w:hAnsi="Arial"/>
          <w:color w:val="2c3e50"/>
          <w:sz w:val="22"/>
          <w:szCs w:val="22"/>
        </w:rPr>
        <w:t xml:space="preserve">Promoted Sports Consultants (PSC) was founded by a coach who has lived every side of the recruiting process — as a recruited player, a college coach evaluating prospects, and a high school coach supporting families. This firsthand perspective is the foundation of everything PSC does.</w:t>
      </w:r>
    </w:p>
    <w:p>
      <w:pPr>
        <w:spacing w:after="60" w:before="60"/>
      </w:pPr>
      <w:r>
        <w:t xml:space="preserve"/>
      </w:r>
    </w:p>
    <w:p>
      <w:pPr>
        <w:spacing w:after="120" w:before="0"/>
      </w:pPr>
      <w:r>
        <w:rPr>
          <w:rFonts w:ascii="Arial" w:cs="Arial" w:eastAsia="Arial" w:hAnsi="Arial"/>
          <w:color w:val="2c3e50"/>
          <w:sz w:val="22"/>
          <w:szCs w:val="22"/>
        </w:rPr>
        <w:t xml:space="preserve">What started in soccer is built to serve every sport. The recruiting and club-operations problems PSC solves are universal — divisions, scholarships, rosters, payments, parent communication. The expertise is soccer-deep; the platforms are sport-agnostic.</w:t>
      </w:r>
    </w:p>
    <w:p>
      <w:pPr>
        <w:spacing w:after="120" w:before="120"/>
      </w:pPr>
      <w:r>
        <w:t xml:space="preserve"/>
      </w:r>
    </w:p>
    <w:p>
      <w:pPr>
        <w:pStyle w:val="Heading2"/>
        <w:spacing w:after="120" w:before="240"/>
      </w:pPr>
      <w:r>
        <w:rPr>
          <w:rFonts w:ascii="Georgia" w:cs="Georgia" w:eastAsia="Georgia" w:hAnsi="Georgia"/>
          <w:b w:val="false"/>
          <w:bCs w:val="false"/>
          <w:color w:val="1a2332"/>
          <w:sz w:val="28"/>
          <w:szCs w:val="28"/>
        </w:rPr>
        <w:t xml:space="preserve">The PSC Product Family</w:t>
      </w:r>
    </w:p>
    <w:p>
      <w:pPr>
        <w:spacing w:after="120" w:before="0"/>
      </w:pPr>
      <w:r>
        <w:rPr>
          <w:rFonts w:ascii="Arial" w:cs="Arial" w:eastAsia="Arial" w:hAnsi="Arial"/>
          <w:color w:val="2c3e50"/>
          <w:sz w:val="22"/>
          <w:szCs w:val="22"/>
        </w:rPr>
        <w:t xml:space="preserve">PSC operates as a parent brand with two independent platforms and two human-led service lines: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3200"/>
        <w:gridCol w:w="3200"/>
      </w:tblGrid>
      <w:tr>
        <w:tc>
          <w:tcPr>
            <w:tcW w:type="dxa" w:w="2960"/>
            <w:tcBorders>
              <w:top w:val="single" w:color="e5e7eb" w:sz="1"/>
              <w:left w:val="single" w:color="e5e7eb" w:sz="1"/>
              <w:bottom w:val="single" w:color="e5e7eb" w:sz="1"/>
              <w:right w:val="single" w:color="e5e7eb" w:sz="1"/>
            </w:tcBorders>
            <w:shd w:fill="1a2332" w:val="clear"/>
            <w:tcMar>
              <w:top w:type="dxa" w:w="140"/>
              <w:left w:type="dxa" w:w="200"/>
              <w:bottom w:type="dxa" w:w="140"/>
              <w:right w:type="dxa" w:w="200"/>
            </w:tcMar>
            <w:vAlign w:val="center"/>
          </w:tcPr>
          <w:p>
            <w:pPr>
              <w:jc w:val="center"/>
            </w:pPr>
            <w:r>
              <w:rPr>
                <w:rFonts w:ascii="Arial" w:cs="Arial" w:eastAsia="Arial" w:hAnsi="Arial"/>
                <w:b/>
                <w:bCs/>
                <w:color w:val="FFFFFF"/>
                <w:sz w:val="28"/>
                <w:szCs w:val="28"/>
              </w:rPr>
              <w:t xml:space="preserve">PSC</w:t>
            </w:r>
          </w:p>
          <w:p>
            <w:pPr>
              <w:jc w:val="center"/>
            </w:pPr>
            <w:r>
              <w:rPr>
                <w:rFonts w:ascii="Arial" w:cs="Arial" w:eastAsia="Arial" w:hAnsi="Arial"/>
                <w:color w:val="c8d1da"/>
                <w:sz w:val="18"/>
                <w:szCs w:val="18"/>
              </w:rPr>
              <w:t xml:space="preserve">Parent Brand</w:t>
            </w:r>
          </w:p>
          <w:p>
            <w:pPr>
              <w:jc w:val="center"/>
            </w:pPr>
            <w:r>
              <w:rPr>
                <w:rFonts w:ascii="Arial" w:cs="Arial" w:eastAsia="Arial" w:hAnsi="Arial"/>
                <w:i/>
                <w:iCs/>
                <w:color w:val="c8d1da"/>
                <w:sz w:val="16"/>
                <w:szCs w:val="16"/>
              </w:rPr>
              <w:t xml:space="preserve">Navy + Silver</w:t>
            </w:r>
          </w:p>
        </w:tc>
        <w:tc>
          <w:tcPr>
            <w:tcW w:type="dxa" w:w="3200"/>
            <w:tcBorders>
              <w:top w:val="single" w:color="e5e7eb" w:sz="1"/>
              <w:left w:val="single" w:color="e5e7eb" w:sz="1"/>
              <w:bottom w:val="single" w:color="e5e7eb" w:sz="1"/>
              <w:right w:val="single" w:color="e5e7eb" w:sz="1"/>
            </w:tcBorders>
            <w:shd w:fill="2c3e57" w:val="clear"/>
            <w:tcMar>
              <w:top w:type="dxa" w:w="140"/>
              <w:left w:type="dxa" w:w="200"/>
              <w:bottom w:type="dxa" w:w="140"/>
              <w:right w:type="dxa" w:w="200"/>
            </w:tcMar>
            <w:vAlign w:val="center"/>
          </w:tcPr>
          <w:p>
            <w:pPr>
              <w:jc w:val="center"/>
            </w:pPr>
            <w:r>
              <w:rPr>
                <w:rFonts w:ascii="Arial" w:cs="Arial" w:eastAsia="Arial" w:hAnsi="Arial"/>
                <w:b/>
                <w:bCs/>
                <w:color w:val="22c55e"/>
                <w:sz w:val="28"/>
                <w:szCs w:val="28"/>
              </w:rPr>
              <w:t xml:space="preserve">FUSE-ID</w:t>
            </w:r>
          </w:p>
          <w:p>
            <w:pPr>
              <w:jc w:val="center"/>
            </w:pPr>
            <w:r>
              <w:rPr>
                <w:rFonts w:ascii="Arial" w:cs="Arial" w:eastAsia="Arial" w:hAnsi="Arial"/>
                <w:color w:val="c8d1da"/>
                <w:sz w:val="18"/>
                <w:szCs w:val="18"/>
              </w:rPr>
              <w:t xml:space="preserve">AI Recruiting Platform</w:t>
            </w:r>
          </w:p>
          <w:p>
            <w:pPr>
              <w:jc w:val="center"/>
            </w:pPr>
            <w:r>
              <w:rPr>
                <w:rFonts w:ascii="Arial" w:cs="Arial" w:eastAsia="Arial" w:hAnsi="Arial"/>
                <w:i/>
                <w:iCs/>
                <w:color w:val="c8d1da"/>
                <w:sz w:val="16"/>
                <w:szCs w:val="16"/>
              </w:rPr>
              <w:t xml:space="preserve">Navy base + Lime Green</w:t>
            </w:r>
          </w:p>
        </w:tc>
        <w:tc>
          <w:tcPr>
            <w:tcW w:type="dxa" w:w="3200"/>
            <w:tcBorders>
              <w:top w:val="single" w:color="e5e7eb" w:sz="1"/>
              <w:left w:val="single" w:color="e5e7eb" w:sz="1"/>
              <w:bottom w:val="single" w:color="e5e7eb" w:sz="1"/>
              <w:right w:val="single" w:color="e5e7eb" w:sz="1"/>
            </w:tcBorders>
            <w:shd w:fill="2c3e57" w:val="clear"/>
            <w:tcMar>
              <w:top w:type="dxa" w:w="140"/>
              <w:left w:type="dxa" w:w="200"/>
              <w:bottom w:type="dxa" w:w="140"/>
              <w:right w:type="dxa" w:w="200"/>
            </w:tcMar>
            <w:vAlign w:val="center"/>
          </w:tcPr>
          <w:p>
            <w:pPr>
              <w:jc w:val="center"/>
            </w:pPr>
            <w:r>
              <w:rPr>
                <w:rFonts w:ascii="Georgia" w:cs="Georgia" w:eastAsia="Georgia" w:hAnsi="Georgia"/>
                <w:b w:val="false"/>
                <w:bCs w:val="false"/>
                <w:color w:val="d4a574"/>
                <w:sz w:val="28"/>
                <w:szCs w:val="28"/>
              </w:rPr>
              <w:t xml:space="preserve">Clubstack</w:t>
            </w:r>
          </w:p>
          <w:p>
            <w:pPr>
              <w:jc w:val="center"/>
            </w:pPr>
            <w:r>
              <w:rPr>
                <w:rFonts w:ascii="Arial" w:cs="Arial" w:eastAsia="Arial" w:hAnsi="Arial"/>
                <w:color w:val="c8d1da"/>
                <w:sz w:val="18"/>
                <w:szCs w:val="18"/>
              </w:rPr>
              <w:t xml:space="preserve">Club Management Platform</w:t>
            </w:r>
          </w:p>
          <w:p>
            <w:pPr>
              <w:jc w:val="center"/>
            </w:pPr>
            <w:r>
              <w:rPr>
                <w:rFonts w:ascii="Arial" w:cs="Arial" w:eastAsia="Arial" w:hAnsi="Arial"/>
                <w:i/>
                <w:iCs/>
                <w:color w:val="c8d1da"/>
                <w:sz w:val="16"/>
                <w:szCs w:val="16"/>
              </w:rPr>
              <w:t xml:space="preserve">Navy base + Gold</w:t>
            </w:r>
          </w:p>
        </w:tc>
      </w:tr>
    </w:tbl>
    <w:p>
      <w:pPr>
        <w:spacing w:after="120" w:before="120"/>
      </w:pPr>
      <w:r>
        <w:t xml:space="preserve"/>
      </w:r>
    </w:p>
    <w:p>
      <w:pPr>
        <w:pStyle w:val="Heading2"/>
        <w:spacing w:after="120" w:before="240"/>
      </w:pPr>
      <w:r>
        <w:rPr>
          <w:rFonts w:ascii="Georgia" w:cs="Georgia" w:eastAsia="Georgia" w:hAnsi="Georgia"/>
          <w:b w:val="false"/>
          <w:bCs w:val="false"/>
          <w:color w:val="1a2332"/>
          <w:sz w:val="28"/>
          <w:szCs w:val="28"/>
        </w:rPr>
        <w:t xml:space="preserve">Services (Premium Tier)</w:t>
      </w:r>
    </w:p>
    <w:p>
      <w:pPr>
        <w:pStyle w:val="ListParagraph"/>
        <w:numPr>
          <w:ilvl w:val="0"/>
          <w:numId w:val="2"/>
        </w:numPr>
        <w:spacing w:after="60" w:before="60"/>
      </w:pPr>
      <w:r>
        <w:rPr>
          <w:rFonts w:ascii="Arial" w:cs="Arial" w:eastAsia="Arial" w:hAnsi="Arial"/>
          <w:color w:val="2c3e50"/>
          <w:sz w:val="22"/>
          <w:szCs w:val="22"/>
        </w:rPr>
        <w:t xml:space="preserve">Recruiting Services — personalized, human-led recruiting guidance backed by NCAA/NAIA/NJCAA expertise</w:t>
      </w:r>
    </w:p>
    <w:p>
      <w:pPr>
        <w:pStyle w:val="ListParagraph"/>
        <w:numPr>
          <w:ilvl w:val="0"/>
          <w:numId w:val="2"/>
        </w:numPr>
        <w:spacing w:after="60" w:before="60"/>
      </w:pPr>
      <w:r>
        <w:rPr>
          <w:rFonts w:ascii="Arial" w:cs="Arial" w:eastAsia="Arial" w:hAnsi="Arial"/>
          <w:color w:val="2c3e50"/>
          <w:sz w:val="22"/>
          <w:szCs w:val="22"/>
        </w:rPr>
        <w:t xml:space="preserve">Club Consulting — operations and strategy support for club leadership teams</w:t>
      </w:r>
    </w:p>
    <w:p>
      <w:pPr>
        <w:spacing w:after="120" w:before="120"/>
      </w:pPr>
      <w:r>
        <w:t xml:space="preserve"/>
      </w:r>
    </w:p>
    <w:p>
      <w:pPr>
        <w:pStyle w:val="Heading2"/>
        <w:spacing w:after="120" w:before="240"/>
      </w:pPr>
      <w:r>
        <w:rPr>
          <w:rFonts w:ascii="Georgia" w:cs="Georgia" w:eastAsia="Georgia" w:hAnsi="Georgia"/>
          <w:b w:val="false"/>
          <w:bCs w:val="false"/>
          <w:color w:val="1a2332"/>
          <w:sz w:val="28"/>
          <w:szCs w:val="28"/>
        </w:rPr>
        <w:t xml:space="preserve">Legal Name</w:t>
      </w:r>
    </w:p>
    <w:p>
      <w:pPr>
        <w:spacing w:after="120" w:before="0"/>
      </w:pPr>
      <w:r>
        <w:rPr>
          <w:rFonts w:ascii="Arial" w:cs="Arial" w:eastAsia="Arial" w:hAnsi="Arial"/>
          <w:color w:val="2c3e50"/>
          <w:sz w:val="22"/>
          <w:szCs w:val="22"/>
        </w:rPr>
        <w:t xml:space="preserve">Promoted Soccer Consultants, LLC</w:t>
      </w:r>
    </w:p>
    <w:p>
      <w:pPr>
        <w:spacing w:after="120" w:before="0"/>
      </w:pPr>
      <w:r>
        <w:rPr>
          <w:rFonts w:ascii="Arial" w:cs="Arial" w:eastAsia="Arial" w:hAnsi="Arial"/>
          <w:color w:val="2c3e50"/>
          <w:sz w:val="22"/>
          <w:szCs w:val="22"/>
        </w:rPr>
        <w:t xml:space="preserve">Brand display name: Promoted Sports Consultants / PSC</w:t>
      </w:r>
    </w:p>
    <w:p>
      <w:pPr>
        <w:spacing w:after="60" w:before="60"/>
      </w:pPr>
      <w:r>
        <w:t xml:space="preserve"/>
      </w:r>
    </w:p>
    <w:p>
      <w:pPr>
        <w:spacing w:after="120" w:before="0"/>
      </w:pPr>
      <w:r>
        <w:rPr>
          <w:rFonts w:ascii="Arial" w:cs="Arial" w:eastAsia="Arial" w:hAnsi="Arial"/>
          <w:color w:val="2c3e50"/>
          <w:sz w:val="22"/>
          <w:szCs w:val="22"/>
        </w:rPr>
        <w:t xml:space="preserve">Use "PSC" after the first full mention in any document. Never abbreviate the product names (FUSE-ID, Clubstack).</w:t>
      </w:r>
    </w:p>
    <w:p>
      <w:pPr>
        <w:spacing w:after="120" w:before="120"/>
      </w:pPr>
      <w:r>
        <w:t xml:space="preserve"/>
      </w:r>
    </w:p>
    <w:p>
      <w:r>
        <w:br w:type="page"/>
      </w:r>
    </w:p>
    <w:p>
      <w:pPr>
        <w:spacing w:after="80" w:before="480"/>
      </w:pPr>
      <w:r>
        <w:rPr>
          <w:rFonts w:ascii="Arial" w:cs="Arial" w:eastAsia="Arial" w:hAnsi="Arial"/>
          <w:b/>
          <w:bCs/>
          <w:color w:val="6b7280"/>
          <w:spacing w:val="120"/>
          <w:sz w:val="16"/>
          <w:szCs w:val="16"/>
        </w:rPr>
        <w:t xml:space="preserve">02 — COLOR PALETTE</w:t>
      </w:r>
    </w:p>
    <w:p>
      <w:pPr>
        <w:pStyle w:val="Heading1"/>
        <w:spacing w:after="160" w:before="0"/>
      </w:pPr>
      <w:r>
        <w:rPr>
          <w:rFonts w:ascii="Georgia" w:cs="Georgia" w:eastAsia="Georgia" w:hAnsi="Georgia"/>
          <w:b w:val="false"/>
          <w:bCs w:val="false"/>
          <w:color w:val="1a2332"/>
          <w:sz w:val="40"/>
          <w:szCs w:val="40"/>
        </w:rPr>
        <w:t xml:space="preserve">Primary &amp; Accent Colors</w:t>
      </w:r>
    </w:p>
    <w:p>
      <w:pPr>
        <w:pBdr>
          <w:bottom w:val="single" w:color="1a2332" w:sz="12" w:space="1"/>
        </w:pBdr>
        <w:spacing w:after="240" w:before="40"/>
      </w:pPr>
      <w:r>
        <w:t xml:space="preserve"/>
      </w:r>
    </w:p>
    <w:p>
      <w:pPr>
        <w:spacing w:after="120" w:before="0"/>
      </w:pPr>
      <w:r>
        <w:rPr>
          <w:rFonts w:ascii="Arial" w:cs="Arial" w:eastAsia="Arial" w:hAnsi="Arial"/>
          <w:color w:val="2c3e50"/>
          <w:sz w:val="22"/>
          <w:szCs w:val="22"/>
        </w:rPr>
        <w:t xml:space="preserve">The PSC palette is built around dark navy as the primary brand color, with a silver accent for the parent brand and product-specific accents for FUSE-ID and Clubstack.</w:t>
      </w:r>
    </w:p>
    <w:p>
      <w:pPr>
        <w:spacing w:after="120" w:before="120"/>
      </w:pPr>
      <w:r>
        <w:t xml:space="preserve"/>
      </w:r>
    </w:p>
    <w:p>
      <w:pPr>
        <w:pStyle w:val="Heading2"/>
        <w:spacing w:after="120" w:before="240"/>
      </w:pPr>
      <w:r>
        <w:rPr>
          <w:rFonts w:ascii="Georgia" w:cs="Georgia" w:eastAsia="Georgia" w:hAnsi="Georgia"/>
          <w:b w:val="false"/>
          <w:bCs w:val="false"/>
          <w:color w:val="1a2332"/>
          <w:sz w:val="28"/>
          <w:szCs w:val="28"/>
        </w:rPr>
        <w:t xml:space="preserve">Parent Brand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760"/>
      </w:tblGrid>
      <w:tr>
        <w:tc>
          <w:tcPr>
            <w:tcW w:type="dxa" w:w="1200"/>
            <w:tcBorders>
              <w:top w:val="single" w:color="e5e7eb" w:sz="1"/>
              <w:left w:val="single" w:color="e5e7eb" w:sz="1"/>
              <w:bottom w:val="single" w:color="e5e7eb" w:sz="1"/>
              <w:right w:val="single" w:color="e5e7eb" w:sz="1"/>
            </w:tcBorders>
            <w:shd w:fill="1a2332" w:val="clear"/>
            <w:tcMar>
              <w:top w:type="dxa" w:w="80"/>
              <w:left w:type="dxa" w:w="140"/>
              <w:bottom w:type="dxa" w:w="80"/>
              <w:right w:type="dxa" w:w="100"/>
            </w:tcMar>
          </w:tcPr>
          <w:p>
            <w:r>
              <w:rPr>
                <w:rFonts w:ascii="Arial" w:cs="Arial" w:eastAsia="Arial" w:hAnsi="Arial"/>
                <w:b/>
                <w:bCs/>
                <w:color w:val="FFFFFF"/>
                <w:sz w:val="18"/>
                <w:szCs w:val="18"/>
              </w:rPr>
              <w:t xml:space="preserve"/>
            </w:r>
          </w:p>
        </w:tc>
        <w:tc>
          <w:tcPr>
            <w:tcW w:type="dxa" w:w="2200"/>
            <w:tcBorders>
              <w:top w:val="single" w:color="e5e7eb" w:sz="1"/>
              <w:left w:val="single" w:color="e5e7eb" w:sz="1"/>
              <w:bottom w:val="single" w:color="e5e7eb" w:sz="1"/>
              <w:right w:val="single" w:color="e5e7eb" w:sz="1"/>
            </w:tcBorders>
            <w:shd w:fill="1a2332" w:val="clear"/>
            <w:tcMar>
              <w:top w:type="dxa" w:w="80"/>
              <w:left w:type="dxa" w:w="140"/>
              <w:bottom w:type="dxa" w:w="80"/>
              <w:right w:type="dxa" w:w="100"/>
            </w:tcMar>
          </w:tcPr>
          <w:p>
            <w:r>
              <w:rPr>
                <w:rFonts w:ascii="Arial" w:cs="Arial" w:eastAsia="Arial" w:hAnsi="Arial"/>
                <w:b/>
                <w:bCs/>
                <w:color w:val="FFFFFF"/>
                <w:sz w:val="18"/>
                <w:szCs w:val="18"/>
              </w:rPr>
              <w:t xml:space="preserve">Color / Hex</w:t>
            </w:r>
          </w:p>
        </w:tc>
        <w:tc>
          <w:tcPr>
            <w:tcW w:type="dxa" w:w="2200"/>
            <w:tcBorders>
              <w:top w:val="single" w:color="e5e7eb" w:sz="1"/>
              <w:left w:val="single" w:color="e5e7eb" w:sz="1"/>
              <w:bottom w:val="single" w:color="e5e7eb" w:sz="1"/>
              <w:right w:val="single" w:color="e5e7eb" w:sz="1"/>
            </w:tcBorders>
            <w:shd w:fill="1a2332" w:val="clear"/>
            <w:tcMar>
              <w:top w:type="dxa" w:w="80"/>
              <w:left w:type="dxa" w:w="140"/>
              <w:bottom w:type="dxa" w:w="80"/>
              <w:right w:type="dxa" w:w="100"/>
            </w:tcMar>
          </w:tcPr>
          <w:p>
            <w:r>
              <w:rPr>
                <w:rFonts w:ascii="Arial" w:cs="Arial" w:eastAsia="Arial" w:hAnsi="Arial"/>
                <w:b/>
                <w:bCs/>
                <w:color w:val="FFFFFF"/>
                <w:sz w:val="18"/>
                <w:szCs w:val="18"/>
              </w:rPr>
              <w:t xml:space="preserve">Role</w:t>
            </w:r>
          </w:p>
        </w:tc>
        <w:tc>
          <w:tcPr>
            <w:tcW w:type="dxa" w:w="3760"/>
            <w:tcBorders>
              <w:top w:val="single" w:color="e5e7eb" w:sz="1"/>
              <w:left w:val="single" w:color="e5e7eb" w:sz="1"/>
              <w:bottom w:val="single" w:color="e5e7eb" w:sz="1"/>
              <w:right w:val="single" w:color="e5e7eb" w:sz="1"/>
            </w:tcBorders>
            <w:shd w:fill="1a2332" w:val="clear"/>
            <w:tcMar>
              <w:top w:type="dxa" w:w="80"/>
              <w:left w:type="dxa" w:w="140"/>
              <w:bottom w:type="dxa" w:w="80"/>
              <w:right w:type="dxa" w:w="100"/>
            </w:tcMar>
          </w:tcPr>
          <w:p>
            <w:r>
              <w:rPr>
                <w:rFonts w:ascii="Arial" w:cs="Arial" w:eastAsia="Arial" w:hAnsi="Arial"/>
                <w:b/>
                <w:bCs/>
                <w:color w:val="FFFFFF"/>
                <w:sz w:val="18"/>
                <w:szCs w:val="18"/>
              </w:rPr>
              <w:t xml:space="preserve">When to use</w:t>
            </w:r>
          </w:p>
        </w:tc>
      </w:tr>
      <w:tr>
        <w:tc>
          <w:tcPr>
            <w:tcW w:type="dxa" w:w="1200"/>
            <w:tcBorders>
              <w:top w:val="single" w:color="e5e7eb" w:sz="1"/>
              <w:left w:val="single" w:color="e5e7eb" w:sz="1"/>
              <w:bottom w:val="single" w:color="e5e7eb" w:sz="1"/>
              <w:right w:val="single" w:color="e5e7eb" w:sz="1"/>
            </w:tcBorders>
            <w:shd w:fill="1a2332" w:val="clear"/>
            <w:tcMar>
              <w:top w:type="dxa" w:w="0"/>
              <w:left w:type="dxa" w:w="0"/>
              <w:bottom w:type="dxa" w:w="0"/>
              <w:right w:type="dxa" w:w="0"/>
            </w:tcMar>
          </w:tcPr>
          <w:p>
            <w:r>
              <w:t xml:space="preserve"/>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color w:val="1a2332"/>
                <w:sz w:val="22"/>
                <w:szCs w:val="22"/>
              </w:rPr>
              <w:t xml:space="preserve">Dark Navy</w:t>
            </w:r>
          </w:p>
          <w:p>
            <w:r>
              <w:rPr>
                <w:rFonts w:ascii="Arial" w:cs="Arial" w:eastAsia="Arial" w:hAnsi="Arial"/>
                <w:color w:val="6b7280"/>
                <w:sz w:val="18"/>
                <w:szCs w:val="18"/>
              </w:rPr>
              <w:t xml:space="preserve">#1A2332</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color w:val="2c3e50"/>
                <w:sz w:val="20"/>
                <w:szCs w:val="20"/>
              </w:rPr>
              <w:t xml:space="preserve">Primary brand color</w:t>
            </w:r>
          </w:p>
        </w:tc>
        <w:tc>
          <w:tcPr>
            <w:tcW w:type="dxa" w:w="37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20"/>
                <w:szCs w:val="20"/>
              </w:rPr>
              <w:t xml:space="preserve">Section backgrounds, headings on light surfaces, CTAs, logo field</w:t>
            </w:r>
          </w:p>
        </w:tc>
      </w:tr>
      <w:tr>
        <w:tc>
          <w:tcPr>
            <w:tcW w:type="dxa" w:w="1200"/>
            <w:tcBorders>
              <w:top w:val="single" w:color="e5e7eb" w:sz="1"/>
              <w:left w:val="single" w:color="e5e7eb" w:sz="1"/>
              <w:bottom w:val="single" w:color="e5e7eb" w:sz="1"/>
              <w:right w:val="single" w:color="e5e7eb" w:sz="1"/>
            </w:tcBorders>
            <w:shd w:fill="2c3e57" w:val="clear"/>
            <w:tcMar>
              <w:top w:type="dxa" w:w="0"/>
              <w:left w:type="dxa" w:w="0"/>
              <w:bottom w:type="dxa" w:w="0"/>
              <w:right w:type="dxa" w:w="0"/>
            </w:tcMar>
          </w:tcPr>
          <w:p>
            <w:r>
              <w:t xml:space="preserve"/>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color w:val="1a2332"/>
                <w:sz w:val="22"/>
                <w:szCs w:val="22"/>
              </w:rPr>
              <w:t xml:space="preserve">Secondary Navy</w:t>
            </w:r>
          </w:p>
          <w:p>
            <w:r>
              <w:rPr>
                <w:rFonts w:ascii="Arial" w:cs="Arial" w:eastAsia="Arial" w:hAnsi="Arial"/>
                <w:color w:val="6b7280"/>
                <w:sz w:val="18"/>
                <w:szCs w:val="18"/>
              </w:rPr>
              <w:t xml:space="preserve">#2C3E57</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color w:val="2c3e50"/>
                <w:sz w:val="20"/>
                <w:szCs w:val="20"/>
              </w:rPr>
              <w:t xml:space="preserve">Gradient / depth</w:t>
            </w:r>
          </w:p>
        </w:tc>
        <w:tc>
          <w:tcPr>
            <w:tcW w:type="dxa" w:w="37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20"/>
                <w:szCs w:val="20"/>
              </w:rPr>
              <w:t xml:space="preserve">Hero gradient (dark to navy), card hover states, layered backgrounds</w:t>
            </w:r>
          </w:p>
        </w:tc>
      </w:tr>
      <w:tr>
        <w:tc>
          <w:tcPr>
            <w:tcW w:type="dxa" w:w="1200"/>
            <w:tcBorders>
              <w:top w:val="single" w:color="e5e7eb" w:sz="1"/>
              <w:left w:val="single" w:color="e5e7eb" w:sz="1"/>
              <w:bottom w:val="single" w:color="e5e7eb" w:sz="1"/>
              <w:right w:val="single" w:color="e5e7eb" w:sz="1"/>
            </w:tcBorders>
            <w:shd w:fill="c8d1da" w:val="clear"/>
            <w:tcMar>
              <w:top w:type="dxa" w:w="0"/>
              <w:left w:type="dxa" w:w="0"/>
              <w:bottom w:type="dxa" w:w="0"/>
              <w:right w:type="dxa" w:w="0"/>
            </w:tcMar>
          </w:tcPr>
          <w:p>
            <w:r>
              <w:t xml:space="preserve"/>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color w:val="1a2332"/>
                <w:sz w:val="22"/>
                <w:szCs w:val="22"/>
              </w:rPr>
              <w:t xml:space="preserve">Accent Silver</w:t>
            </w:r>
          </w:p>
          <w:p>
            <w:r>
              <w:rPr>
                <w:rFonts w:ascii="Arial" w:cs="Arial" w:eastAsia="Arial" w:hAnsi="Arial"/>
                <w:color w:val="6b7280"/>
                <w:sz w:val="18"/>
                <w:szCs w:val="18"/>
              </w:rPr>
              <w:t xml:space="preserve">#C8D1DA</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color w:val="2c3e50"/>
                <w:sz w:val="20"/>
                <w:szCs w:val="20"/>
              </w:rPr>
              <w:t xml:space="preserve">Parent brand accent</w:t>
            </w:r>
          </w:p>
        </w:tc>
        <w:tc>
          <w:tcPr>
            <w:tcW w:type="dxa" w:w="37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20"/>
                <w:szCs w:val="20"/>
              </w:rPr>
              <w:t xml:space="preserve">Pill badges, subtle borders, hover states on PSC parent pages</w:t>
            </w:r>
          </w:p>
        </w:tc>
      </w:tr>
      <w:tr>
        <w:tc>
          <w:tcPr>
            <w:tcW w:type="dxa" w:w="1200"/>
            <w:tcBorders>
              <w:top w:val="single" w:color="e5e7eb" w:sz="1"/>
              <w:left w:val="single" w:color="e5e7eb" w:sz="1"/>
              <w:bottom w:val="single" w:color="e5e7eb" w:sz="1"/>
              <w:right w:val="single" w:color="e5e7eb" w:sz="1"/>
            </w:tcBorders>
            <w:shd w:fill="e5ecf2" w:val="clear"/>
            <w:tcMar>
              <w:top w:type="dxa" w:w="0"/>
              <w:left w:type="dxa" w:w="0"/>
              <w:bottom w:type="dxa" w:w="0"/>
              <w:right w:type="dxa" w:w="0"/>
            </w:tcMar>
          </w:tcPr>
          <w:p>
            <w:r>
              <w:t xml:space="preserve"/>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color w:val="1a2332"/>
                <w:sz w:val="22"/>
                <w:szCs w:val="22"/>
              </w:rPr>
              <w:t xml:space="preserve">Silver Bright</w:t>
            </w:r>
          </w:p>
          <w:p>
            <w:r>
              <w:rPr>
                <w:rFonts w:ascii="Arial" w:cs="Arial" w:eastAsia="Arial" w:hAnsi="Arial"/>
                <w:color w:val="6b7280"/>
                <w:sz w:val="18"/>
                <w:szCs w:val="18"/>
              </w:rPr>
              <w:t xml:space="preserve">#E5ECF2</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color w:val="2c3e50"/>
                <w:sz w:val="20"/>
                <w:szCs w:val="20"/>
              </w:rPr>
              <w:t xml:space="preserve">Light accent</w:t>
            </w:r>
          </w:p>
        </w:tc>
        <w:tc>
          <w:tcPr>
            <w:tcW w:type="dxa" w:w="37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20"/>
                <w:szCs w:val="20"/>
              </w:rPr>
              <w:t xml:space="preserve">Soft section backgrounds, input fields, card highlight areas</w:t>
            </w:r>
          </w:p>
        </w:tc>
      </w:tr>
      <w:tr>
        <w:tc>
          <w:tcPr>
            <w:tcW w:type="dxa" w:w="1200"/>
            <w:tcBorders>
              <w:top w:val="single" w:color="e5e7eb" w:sz="1"/>
              <w:left w:val="single" w:color="e5e7eb" w:sz="1"/>
              <w:bottom w:val="single" w:color="e5e7eb" w:sz="1"/>
              <w:right w:val="single" w:color="e5e7eb" w:sz="1"/>
            </w:tcBorders>
            <w:shd w:fill="d4a574" w:val="clear"/>
            <w:tcMar>
              <w:top w:type="dxa" w:w="0"/>
              <w:left w:type="dxa" w:w="0"/>
              <w:bottom w:type="dxa" w:w="0"/>
              <w:right w:type="dxa" w:w="0"/>
            </w:tcMar>
          </w:tcPr>
          <w:p>
            <w:r>
              <w:t xml:space="preserve"/>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color w:val="1a2332"/>
                <w:sz w:val="22"/>
                <w:szCs w:val="22"/>
              </w:rPr>
              <w:t xml:space="preserve">Accent Gold</w:t>
            </w:r>
          </w:p>
          <w:p>
            <w:r>
              <w:rPr>
                <w:rFonts w:ascii="Arial" w:cs="Arial" w:eastAsia="Arial" w:hAnsi="Arial"/>
                <w:color w:val="6b7280"/>
                <w:sz w:val="18"/>
                <w:szCs w:val="18"/>
              </w:rPr>
              <w:t xml:space="preserve">#D4A574</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color w:val="2c3e50"/>
                <w:sz w:val="20"/>
                <w:szCs w:val="20"/>
              </w:rPr>
              <w:t xml:space="preserve">Secondary accent</w:t>
            </w:r>
          </w:p>
        </w:tc>
        <w:tc>
          <w:tcPr>
            <w:tcW w:type="dxa" w:w="37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20"/>
                <w:szCs w:val="20"/>
              </w:rPr>
              <w:t xml:space="preserve">"Most Popular" callouts, Clubstack CTAs, dark section headings</w:t>
            </w:r>
          </w:p>
        </w:tc>
      </w:tr>
    </w:tbl>
    <w:p>
      <w:pPr>
        <w:spacing w:after="120" w:before="120"/>
      </w:pPr>
      <w:r>
        <w:t xml:space="preserve"/>
      </w:r>
    </w:p>
    <w:p>
      <w:pPr>
        <w:pStyle w:val="Heading2"/>
        <w:spacing w:after="120" w:before="240"/>
      </w:pPr>
      <w:r>
        <w:rPr>
          <w:rFonts w:ascii="Georgia" w:cs="Georgia" w:eastAsia="Georgia" w:hAnsi="Georgia"/>
          <w:b w:val="false"/>
          <w:bCs w:val="false"/>
          <w:color w:val="1a2332"/>
          <w:sz w:val="28"/>
          <w:szCs w:val="28"/>
        </w:rPr>
        <w:t xml:space="preserve">Neutral &amp; Text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760"/>
      </w:tblGrid>
      <w:tr>
        <w:tc>
          <w:tcPr>
            <w:tcW w:type="dxa" w:w="1200"/>
            <w:tcBorders>
              <w:top w:val="single" w:color="e5e7eb" w:sz="1"/>
              <w:left w:val="single" w:color="e5e7eb" w:sz="1"/>
              <w:bottom w:val="single" w:color="e5e7eb" w:sz="1"/>
              <w:right w:val="single" w:color="e5e7eb" w:sz="1"/>
            </w:tcBorders>
            <w:shd w:fill="1a2332" w:val="clear"/>
            <w:tcMar>
              <w:top w:type="dxa" w:w="80"/>
              <w:left w:type="dxa" w:w="140"/>
              <w:bottom w:type="dxa" w:w="80"/>
              <w:right w:type="dxa" w:w="100"/>
            </w:tcMar>
          </w:tcPr>
          <w:p>
            <w:r>
              <w:rPr>
                <w:rFonts w:ascii="Arial" w:cs="Arial" w:eastAsia="Arial" w:hAnsi="Arial"/>
                <w:b/>
                <w:bCs/>
                <w:color w:val="FFFFFF"/>
                <w:sz w:val="18"/>
                <w:szCs w:val="18"/>
              </w:rPr>
              <w:t xml:space="preserve"/>
            </w:r>
          </w:p>
        </w:tc>
        <w:tc>
          <w:tcPr>
            <w:tcW w:type="dxa" w:w="2200"/>
            <w:tcBorders>
              <w:top w:val="single" w:color="e5e7eb" w:sz="1"/>
              <w:left w:val="single" w:color="e5e7eb" w:sz="1"/>
              <w:bottom w:val="single" w:color="e5e7eb" w:sz="1"/>
              <w:right w:val="single" w:color="e5e7eb" w:sz="1"/>
            </w:tcBorders>
            <w:shd w:fill="1a2332" w:val="clear"/>
            <w:tcMar>
              <w:top w:type="dxa" w:w="80"/>
              <w:left w:type="dxa" w:w="140"/>
              <w:bottom w:type="dxa" w:w="80"/>
              <w:right w:type="dxa" w:w="100"/>
            </w:tcMar>
          </w:tcPr>
          <w:p>
            <w:r>
              <w:rPr>
                <w:rFonts w:ascii="Arial" w:cs="Arial" w:eastAsia="Arial" w:hAnsi="Arial"/>
                <w:b/>
                <w:bCs/>
                <w:color w:val="FFFFFF"/>
                <w:sz w:val="18"/>
                <w:szCs w:val="18"/>
              </w:rPr>
              <w:t xml:space="preserve">Color / Hex</w:t>
            </w:r>
          </w:p>
        </w:tc>
        <w:tc>
          <w:tcPr>
            <w:tcW w:type="dxa" w:w="2200"/>
            <w:tcBorders>
              <w:top w:val="single" w:color="e5e7eb" w:sz="1"/>
              <w:left w:val="single" w:color="e5e7eb" w:sz="1"/>
              <w:bottom w:val="single" w:color="e5e7eb" w:sz="1"/>
              <w:right w:val="single" w:color="e5e7eb" w:sz="1"/>
            </w:tcBorders>
            <w:shd w:fill="1a2332" w:val="clear"/>
            <w:tcMar>
              <w:top w:type="dxa" w:w="80"/>
              <w:left w:type="dxa" w:w="140"/>
              <w:bottom w:type="dxa" w:w="80"/>
              <w:right w:type="dxa" w:w="100"/>
            </w:tcMar>
          </w:tcPr>
          <w:p>
            <w:r>
              <w:rPr>
                <w:rFonts w:ascii="Arial" w:cs="Arial" w:eastAsia="Arial" w:hAnsi="Arial"/>
                <w:b/>
                <w:bCs/>
                <w:color w:val="FFFFFF"/>
                <w:sz w:val="18"/>
                <w:szCs w:val="18"/>
              </w:rPr>
              <w:t xml:space="preserve">Role</w:t>
            </w:r>
          </w:p>
        </w:tc>
        <w:tc>
          <w:tcPr>
            <w:tcW w:type="dxa" w:w="3760"/>
            <w:tcBorders>
              <w:top w:val="single" w:color="e5e7eb" w:sz="1"/>
              <w:left w:val="single" w:color="e5e7eb" w:sz="1"/>
              <w:bottom w:val="single" w:color="e5e7eb" w:sz="1"/>
              <w:right w:val="single" w:color="e5e7eb" w:sz="1"/>
            </w:tcBorders>
            <w:shd w:fill="1a2332" w:val="clear"/>
            <w:tcMar>
              <w:top w:type="dxa" w:w="80"/>
              <w:left w:type="dxa" w:w="140"/>
              <w:bottom w:type="dxa" w:w="80"/>
              <w:right w:type="dxa" w:w="100"/>
            </w:tcMar>
          </w:tcPr>
          <w:p>
            <w:r>
              <w:rPr>
                <w:rFonts w:ascii="Arial" w:cs="Arial" w:eastAsia="Arial" w:hAnsi="Arial"/>
                <w:b/>
                <w:bCs/>
                <w:color w:val="FFFFFF"/>
                <w:sz w:val="18"/>
                <w:szCs w:val="18"/>
              </w:rPr>
              <w:t xml:space="preserve">When to use</w:t>
            </w:r>
          </w:p>
        </w:tc>
      </w:tr>
      <w:tr>
        <w:tc>
          <w:tcPr>
            <w:tcW w:type="dxa" w:w="1200"/>
            <w:tcBorders>
              <w:top w:val="single" w:color="e5e7eb" w:sz="1"/>
              <w:left w:val="single" w:color="e5e7eb" w:sz="1"/>
              <w:bottom w:val="single" w:color="e5e7eb" w:sz="1"/>
              <w:right w:val="single" w:color="e5e7eb" w:sz="1"/>
            </w:tcBorders>
            <w:shd w:fill="f8f9fa" w:val="clear"/>
            <w:tcMar>
              <w:top w:type="dxa" w:w="0"/>
              <w:left w:type="dxa" w:w="0"/>
              <w:bottom w:type="dxa" w:w="0"/>
              <w:right w:type="dxa" w:w="0"/>
            </w:tcMar>
          </w:tcPr>
          <w:p>
            <w:r>
              <w:t xml:space="preserve"/>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color w:val="1a2332"/>
                <w:sz w:val="22"/>
                <w:szCs w:val="22"/>
              </w:rPr>
              <w:t xml:space="preserve">Light Gray</w:t>
            </w:r>
          </w:p>
          <w:p>
            <w:r>
              <w:rPr>
                <w:rFonts w:ascii="Arial" w:cs="Arial" w:eastAsia="Arial" w:hAnsi="Arial"/>
                <w:color w:val="6b7280"/>
                <w:sz w:val="18"/>
                <w:szCs w:val="18"/>
              </w:rPr>
              <w:t xml:space="preserve">#F8F9FA</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color w:val="2c3e50"/>
                <w:sz w:val="20"/>
                <w:szCs w:val="20"/>
              </w:rPr>
              <w:t xml:space="preserve">Section backgrounds</w:t>
            </w:r>
          </w:p>
        </w:tc>
        <w:tc>
          <w:tcPr>
            <w:tcW w:type="dxa" w:w="37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20"/>
                <w:szCs w:val="20"/>
              </w:rPr>
              <w:t xml:space="preserve">Alternating light sections, email body backgrounds</w:t>
            </w:r>
          </w:p>
        </w:tc>
      </w:tr>
      <w:tr>
        <w:tc>
          <w:tcPr>
            <w:tcW w:type="dxa" w:w="1200"/>
            <w:tcBorders>
              <w:top w:val="single" w:color="e5e7eb" w:sz="1"/>
              <w:left w:val="single" w:color="e5e7eb" w:sz="1"/>
              <w:bottom w:val="single" w:color="e5e7eb" w:sz="1"/>
              <w:right w:val="single" w:color="e5e7eb" w:sz="1"/>
            </w:tcBorders>
            <w:shd w:fill="e5e7eb" w:val="clear"/>
            <w:tcMar>
              <w:top w:type="dxa" w:w="0"/>
              <w:left w:type="dxa" w:w="0"/>
              <w:bottom w:type="dxa" w:w="0"/>
              <w:right w:type="dxa" w:w="0"/>
            </w:tcMar>
          </w:tcPr>
          <w:p>
            <w:r>
              <w:t xml:space="preserve"/>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color w:val="1a2332"/>
                <w:sz w:val="22"/>
                <w:szCs w:val="22"/>
              </w:rPr>
              <w:t xml:space="preserve">Medium Gray</w:t>
            </w:r>
          </w:p>
          <w:p>
            <w:r>
              <w:rPr>
                <w:rFonts w:ascii="Arial" w:cs="Arial" w:eastAsia="Arial" w:hAnsi="Arial"/>
                <w:color w:val="6b7280"/>
                <w:sz w:val="18"/>
                <w:szCs w:val="18"/>
              </w:rPr>
              <w:t xml:space="preserve">#E5E7EB</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color w:val="2c3e50"/>
                <w:sz w:val="20"/>
                <w:szCs w:val="20"/>
              </w:rPr>
              <w:t xml:space="preserve">Dividers</w:t>
            </w:r>
          </w:p>
        </w:tc>
        <w:tc>
          <w:tcPr>
            <w:tcW w:type="dxa" w:w="37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20"/>
                <w:szCs w:val="20"/>
              </w:rPr>
              <w:t xml:space="preserve">Horizontal rules, table borders, separator lines</w:t>
            </w:r>
          </w:p>
        </w:tc>
      </w:tr>
      <w:tr>
        <w:tc>
          <w:tcPr>
            <w:tcW w:type="dxa" w:w="1200"/>
            <w:tcBorders>
              <w:top w:val="single" w:color="e5e7eb" w:sz="1"/>
              <w:left w:val="single" w:color="e5e7eb" w:sz="1"/>
              <w:bottom w:val="single" w:color="e5e7eb" w:sz="1"/>
              <w:right w:val="single" w:color="e5e7eb" w:sz="1"/>
            </w:tcBorders>
            <w:shd w:fill="2c3e50" w:val="clear"/>
            <w:tcMar>
              <w:top w:type="dxa" w:w="0"/>
              <w:left w:type="dxa" w:w="0"/>
              <w:bottom w:type="dxa" w:w="0"/>
              <w:right w:type="dxa" w:w="0"/>
            </w:tcMar>
          </w:tcPr>
          <w:p>
            <w:r>
              <w:t xml:space="preserve"/>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color w:val="1a2332"/>
                <w:sz w:val="22"/>
                <w:szCs w:val="22"/>
              </w:rPr>
              <w:t xml:space="preserve">Text Dark</w:t>
            </w:r>
          </w:p>
          <w:p>
            <w:r>
              <w:rPr>
                <w:rFonts w:ascii="Arial" w:cs="Arial" w:eastAsia="Arial" w:hAnsi="Arial"/>
                <w:color w:val="6b7280"/>
                <w:sz w:val="18"/>
                <w:szCs w:val="18"/>
              </w:rPr>
              <w:t xml:space="preserve">#2C3E50</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color w:val="2c3e50"/>
                <w:sz w:val="20"/>
                <w:szCs w:val="20"/>
              </w:rPr>
              <w:t xml:space="preserve">Primary body text</w:t>
            </w:r>
          </w:p>
        </w:tc>
        <w:tc>
          <w:tcPr>
            <w:tcW w:type="dxa" w:w="37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20"/>
                <w:szCs w:val="20"/>
              </w:rPr>
              <w:t xml:space="preserve">All body copy on white or light-gray backgrounds</w:t>
            </w:r>
          </w:p>
        </w:tc>
      </w:tr>
      <w:tr>
        <w:tc>
          <w:tcPr>
            <w:tcW w:type="dxa" w:w="1200"/>
            <w:tcBorders>
              <w:top w:val="single" w:color="e5e7eb" w:sz="1"/>
              <w:left w:val="single" w:color="e5e7eb" w:sz="1"/>
              <w:bottom w:val="single" w:color="e5e7eb" w:sz="1"/>
              <w:right w:val="single" w:color="e5e7eb" w:sz="1"/>
            </w:tcBorders>
            <w:shd w:fill="6b7280" w:val="clear"/>
            <w:tcMar>
              <w:top w:type="dxa" w:w="0"/>
              <w:left w:type="dxa" w:w="0"/>
              <w:bottom w:type="dxa" w:w="0"/>
              <w:right w:type="dxa" w:w="0"/>
            </w:tcMar>
          </w:tcPr>
          <w:p>
            <w:r>
              <w:t xml:space="preserve"/>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color w:val="1a2332"/>
                <w:sz w:val="22"/>
                <w:szCs w:val="22"/>
              </w:rPr>
              <w:t xml:space="preserve">Text Light</w:t>
            </w:r>
          </w:p>
          <w:p>
            <w:r>
              <w:rPr>
                <w:rFonts w:ascii="Arial" w:cs="Arial" w:eastAsia="Arial" w:hAnsi="Arial"/>
                <w:color w:val="6b7280"/>
                <w:sz w:val="18"/>
                <w:szCs w:val="18"/>
              </w:rPr>
              <w:t xml:space="preserve">#6B7280</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color w:val="2c3e50"/>
                <w:sz w:val="20"/>
                <w:szCs w:val="20"/>
              </w:rPr>
              <w:t xml:space="preserve">Secondary / captions</w:t>
            </w:r>
          </w:p>
        </w:tc>
        <w:tc>
          <w:tcPr>
            <w:tcW w:type="dxa" w:w="37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20"/>
                <w:szCs w:val="20"/>
              </w:rPr>
              <w:t xml:space="preserve">Captions, eyebrow labels, metadata, placeholder text</w:t>
            </w:r>
          </w:p>
        </w:tc>
      </w:tr>
      <w:tr>
        <w:tc>
          <w:tcPr>
            <w:tcW w:type="dxa" w:w="12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r>
              <w:t xml:space="preserve"/>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color w:val="1a2332"/>
                <w:sz w:val="22"/>
                <w:szCs w:val="22"/>
              </w:rPr>
              <w:t xml:space="preserve">White</w:t>
            </w:r>
          </w:p>
          <w:p>
            <w:r>
              <w:rPr>
                <w:rFonts w:ascii="Arial" w:cs="Arial" w:eastAsia="Arial" w:hAnsi="Arial"/>
                <w:color w:val="6b7280"/>
                <w:sz w:val="18"/>
                <w:szCs w:val="18"/>
              </w:rPr>
              <w:t xml:space="preserve">#FFFFFF</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color w:val="2c3e50"/>
                <w:sz w:val="20"/>
                <w:szCs w:val="20"/>
              </w:rPr>
              <w:t xml:space="preserve">Background / reversed</w:t>
            </w:r>
          </w:p>
        </w:tc>
        <w:tc>
          <w:tcPr>
            <w:tcW w:type="dxa" w:w="37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20"/>
                <w:szCs w:val="20"/>
              </w:rPr>
              <w:t xml:space="preserve">Page backgrounds, reversed text on dark sections</w:t>
            </w:r>
          </w:p>
        </w:tc>
      </w:tr>
    </w:tbl>
    <w:p>
      <w:pPr>
        <w:spacing w:after="120" w:before="120"/>
      </w:pPr>
      <w:r>
        <w:t xml:space="preserve"/>
      </w:r>
    </w:p>
    <w:p>
      <w:pPr>
        <w:pStyle w:val="Heading2"/>
        <w:spacing w:after="120" w:before="240"/>
      </w:pPr>
      <w:r>
        <w:rPr>
          <w:rFonts w:ascii="Georgia" w:cs="Georgia" w:eastAsia="Georgia" w:hAnsi="Georgia"/>
          <w:b w:val="false"/>
          <w:bCs w:val="false"/>
          <w:color w:val="1a2332"/>
          <w:sz w:val="28"/>
          <w:szCs w:val="28"/>
        </w:rPr>
        <w:t xml:space="preserve">Product-Specific Accents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760"/>
      </w:tblGrid>
      <w:tr>
        <w:tc>
          <w:tcPr>
            <w:tcW w:type="dxa" w:w="1200"/>
            <w:tcBorders>
              <w:top w:val="single" w:color="e5e7eb" w:sz="1"/>
              <w:left w:val="single" w:color="e5e7eb" w:sz="1"/>
              <w:bottom w:val="single" w:color="e5e7eb" w:sz="1"/>
              <w:right w:val="single" w:color="e5e7eb" w:sz="1"/>
            </w:tcBorders>
            <w:shd w:fill="1a2332" w:val="clear"/>
            <w:tcMar>
              <w:top w:type="dxa" w:w="80"/>
              <w:left w:type="dxa" w:w="140"/>
              <w:bottom w:type="dxa" w:w="80"/>
              <w:right w:type="dxa" w:w="100"/>
            </w:tcMar>
          </w:tcPr>
          <w:p>
            <w:r>
              <w:rPr>
                <w:rFonts w:ascii="Arial" w:cs="Arial" w:eastAsia="Arial" w:hAnsi="Arial"/>
                <w:b/>
                <w:bCs/>
                <w:color w:val="FFFFFF"/>
                <w:sz w:val="18"/>
                <w:szCs w:val="18"/>
              </w:rPr>
              <w:t xml:space="preserve"/>
            </w:r>
          </w:p>
        </w:tc>
        <w:tc>
          <w:tcPr>
            <w:tcW w:type="dxa" w:w="2200"/>
            <w:tcBorders>
              <w:top w:val="single" w:color="e5e7eb" w:sz="1"/>
              <w:left w:val="single" w:color="e5e7eb" w:sz="1"/>
              <w:bottom w:val="single" w:color="e5e7eb" w:sz="1"/>
              <w:right w:val="single" w:color="e5e7eb" w:sz="1"/>
            </w:tcBorders>
            <w:shd w:fill="1a2332" w:val="clear"/>
            <w:tcMar>
              <w:top w:type="dxa" w:w="80"/>
              <w:left w:type="dxa" w:w="140"/>
              <w:bottom w:type="dxa" w:w="80"/>
              <w:right w:type="dxa" w:w="100"/>
            </w:tcMar>
          </w:tcPr>
          <w:p>
            <w:r>
              <w:rPr>
                <w:rFonts w:ascii="Arial" w:cs="Arial" w:eastAsia="Arial" w:hAnsi="Arial"/>
                <w:b/>
                <w:bCs/>
                <w:color w:val="FFFFFF"/>
                <w:sz w:val="18"/>
                <w:szCs w:val="18"/>
              </w:rPr>
              <w:t xml:space="preserve">Color / Hex</w:t>
            </w:r>
          </w:p>
        </w:tc>
        <w:tc>
          <w:tcPr>
            <w:tcW w:type="dxa" w:w="2200"/>
            <w:tcBorders>
              <w:top w:val="single" w:color="e5e7eb" w:sz="1"/>
              <w:left w:val="single" w:color="e5e7eb" w:sz="1"/>
              <w:bottom w:val="single" w:color="e5e7eb" w:sz="1"/>
              <w:right w:val="single" w:color="e5e7eb" w:sz="1"/>
            </w:tcBorders>
            <w:shd w:fill="1a2332" w:val="clear"/>
            <w:tcMar>
              <w:top w:type="dxa" w:w="80"/>
              <w:left w:type="dxa" w:w="140"/>
              <w:bottom w:type="dxa" w:w="80"/>
              <w:right w:type="dxa" w:w="100"/>
            </w:tcMar>
          </w:tcPr>
          <w:p>
            <w:r>
              <w:rPr>
                <w:rFonts w:ascii="Arial" w:cs="Arial" w:eastAsia="Arial" w:hAnsi="Arial"/>
                <w:b/>
                <w:bCs/>
                <w:color w:val="FFFFFF"/>
                <w:sz w:val="18"/>
                <w:szCs w:val="18"/>
              </w:rPr>
              <w:t xml:space="preserve">Role</w:t>
            </w:r>
          </w:p>
        </w:tc>
        <w:tc>
          <w:tcPr>
            <w:tcW w:type="dxa" w:w="3760"/>
            <w:tcBorders>
              <w:top w:val="single" w:color="e5e7eb" w:sz="1"/>
              <w:left w:val="single" w:color="e5e7eb" w:sz="1"/>
              <w:bottom w:val="single" w:color="e5e7eb" w:sz="1"/>
              <w:right w:val="single" w:color="e5e7eb" w:sz="1"/>
            </w:tcBorders>
            <w:shd w:fill="1a2332" w:val="clear"/>
            <w:tcMar>
              <w:top w:type="dxa" w:w="80"/>
              <w:left w:type="dxa" w:w="140"/>
              <w:bottom w:type="dxa" w:w="80"/>
              <w:right w:type="dxa" w:w="100"/>
            </w:tcMar>
          </w:tcPr>
          <w:p>
            <w:r>
              <w:rPr>
                <w:rFonts w:ascii="Arial" w:cs="Arial" w:eastAsia="Arial" w:hAnsi="Arial"/>
                <w:b/>
                <w:bCs/>
                <w:color w:val="FFFFFF"/>
                <w:sz w:val="18"/>
                <w:szCs w:val="18"/>
              </w:rPr>
              <w:t xml:space="preserve">When to use</w:t>
            </w:r>
          </w:p>
        </w:tc>
      </w:tr>
      <w:tr>
        <w:tc>
          <w:tcPr>
            <w:tcW w:type="dxa" w:w="1200"/>
            <w:tcBorders>
              <w:top w:val="single" w:color="e5e7eb" w:sz="1"/>
              <w:left w:val="single" w:color="e5e7eb" w:sz="1"/>
              <w:bottom w:val="single" w:color="e5e7eb" w:sz="1"/>
              <w:right w:val="single" w:color="e5e7eb" w:sz="1"/>
            </w:tcBorders>
            <w:shd w:fill="22c55e" w:val="clear"/>
            <w:tcMar>
              <w:top w:type="dxa" w:w="0"/>
              <w:left w:type="dxa" w:w="0"/>
              <w:bottom w:type="dxa" w:w="0"/>
              <w:right w:type="dxa" w:w="0"/>
            </w:tcMar>
          </w:tcPr>
          <w:p>
            <w:r>
              <w:t xml:space="preserve"/>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color w:val="1a2332"/>
                <w:sz w:val="22"/>
                <w:szCs w:val="22"/>
              </w:rPr>
              <w:t xml:space="preserve">FUSE-ID Lime Green</w:t>
            </w:r>
          </w:p>
          <w:p>
            <w:r>
              <w:rPr>
                <w:rFonts w:ascii="Arial" w:cs="Arial" w:eastAsia="Arial" w:hAnsi="Arial"/>
                <w:color w:val="6b7280"/>
                <w:sz w:val="18"/>
                <w:szCs w:val="18"/>
              </w:rPr>
              <w:t xml:space="preserve">#22C55E</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color w:val="2c3e50"/>
                <w:sz w:val="20"/>
                <w:szCs w:val="20"/>
              </w:rPr>
              <w:t xml:space="preserve">FUSE-ID brand accent</w:t>
            </w:r>
          </w:p>
        </w:tc>
        <w:tc>
          <w:tcPr>
            <w:tcW w:type="dxa" w:w="37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20"/>
                <w:szCs w:val="20"/>
              </w:rPr>
              <w:t xml:space="preserve">FUSE-ID CTAs, badges, highlights — never used on PSC parent surfaces</w:t>
            </w:r>
          </w:p>
        </w:tc>
      </w:tr>
      <w:tr>
        <w:tc>
          <w:tcPr>
            <w:tcW w:type="dxa" w:w="1200"/>
            <w:tcBorders>
              <w:top w:val="single" w:color="e5e7eb" w:sz="1"/>
              <w:left w:val="single" w:color="e5e7eb" w:sz="1"/>
              <w:bottom w:val="single" w:color="e5e7eb" w:sz="1"/>
              <w:right w:val="single" w:color="e5e7eb" w:sz="1"/>
            </w:tcBorders>
            <w:shd w:fill="d4a574" w:val="clear"/>
            <w:tcMar>
              <w:top w:type="dxa" w:w="0"/>
              <w:left w:type="dxa" w:w="0"/>
              <w:bottom w:type="dxa" w:w="0"/>
              <w:right w:type="dxa" w:w="0"/>
            </w:tcMar>
          </w:tcPr>
          <w:p>
            <w:r>
              <w:t xml:space="preserve"/>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color w:val="1a2332"/>
                <w:sz w:val="22"/>
                <w:szCs w:val="22"/>
              </w:rPr>
              <w:t xml:space="preserve">Clubstack Gold</w:t>
            </w:r>
          </w:p>
          <w:p>
            <w:r>
              <w:rPr>
                <w:rFonts w:ascii="Arial" w:cs="Arial" w:eastAsia="Arial" w:hAnsi="Arial"/>
                <w:color w:val="6b7280"/>
                <w:sz w:val="18"/>
                <w:szCs w:val="18"/>
              </w:rPr>
              <w:t xml:space="preserve">#D4A574</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color w:val="2c3e50"/>
                <w:sz w:val="20"/>
                <w:szCs w:val="20"/>
              </w:rPr>
              <w:t xml:space="preserve">Clubstack brand accent</w:t>
            </w:r>
          </w:p>
        </w:tc>
        <w:tc>
          <w:tcPr>
            <w:tcW w:type="dxa" w:w="37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20"/>
                <w:szCs w:val="20"/>
              </w:rPr>
              <w:t xml:space="preserve">Clubstack CTAs, pricing callouts — shared with --accent-gold token</w:t>
            </w:r>
          </w:p>
        </w:tc>
      </w:tr>
    </w:tbl>
    <w:p>
      <w:pPr>
        <w:spacing w:after="60" w:before="60"/>
      </w:pPr>
      <w:r>
        <w:t xml:space="preserve"/>
      </w:r>
    </w:p>
    <w:p>
      <w:pPr>
        <w:spacing w:after="60" w:before="60"/>
      </w:pPr>
      <w:r>
        <w:rPr>
          <w:rFonts w:ascii="Arial" w:cs="Arial" w:eastAsia="Arial" w:hAnsi="Arial"/>
          <w:i/>
          <w:iCs/>
          <w:color w:val="6b7280"/>
          <w:sz w:val="18"/>
          <w:szCs w:val="18"/>
        </w:rPr>
        <w:t xml:space="preserve">Product accents are scoped to their respective product surfaces (/fuse-id and /clubstack pages, fuse-id.online, clubstack.online). Do not mix product accents on PSC parent brand surfaces.</w:t>
      </w:r>
    </w:p>
    <w:p>
      <w:pPr>
        <w:spacing w:after="120" w:before="120"/>
      </w:pPr>
      <w:r>
        <w:t xml:space="preserve"/>
      </w:r>
    </w:p>
    <w:p>
      <w:r>
        <w:br w:type="page"/>
      </w:r>
    </w:p>
    <w:p>
      <w:pPr>
        <w:spacing w:after="80" w:before="480"/>
      </w:pPr>
      <w:r>
        <w:rPr>
          <w:rFonts w:ascii="Arial" w:cs="Arial" w:eastAsia="Arial" w:hAnsi="Arial"/>
          <w:b/>
          <w:bCs/>
          <w:color w:val="6b7280"/>
          <w:spacing w:val="120"/>
          <w:sz w:val="16"/>
          <w:szCs w:val="16"/>
        </w:rPr>
        <w:t xml:space="preserve">03 — TYPOGRAPHY</w:t>
      </w:r>
    </w:p>
    <w:p>
      <w:pPr>
        <w:pStyle w:val="Heading1"/>
        <w:spacing w:after="160" w:before="0"/>
      </w:pPr>
      <w:r>
        <w:rPr>
          <w:rFonts w:ascii="Georgia" w:cs="Georgia" w:eastAsia="Georgia" w:hAnsi="Georgia"/>
          <w:b w:val="false"/>
          <w:bCs w:val="false"/>
          <w:color w:val="1a2332"/>
          <w:sz w:val="40"/>
          <w:szCs w:val="40"/>
        </w:rPr>
        <w:t xml:space="preserve">Typefaces</w:t>
      </w:r>
    </w:p>
    <w:p>
      <w:pPr>
        <w:pBdr>
          <w:bottom w:val="single" w:color="1a2332" w:sz="12" w:space="1"/>
        </w:pBdr>
        <w:spacing w:after="240" w:before="40"/>
      </w:pPr>
      <w:r>
        <w:t xml:space="preserve"/>
      </w:r>
    </w:p>
    <w:p>
      <w:pPr>
        <w:spacing w:after="120" w:before="0"/>
      </w:pPr>
      <w:r>
        <w:rPr>
          <w:rFonts w:ascii="Arial" w:cs="Arial" w:eastAsia="Arial" w:hAnsi="Arial"/>
          <w:color w:val="2c3e50"/>
          <w:sz w:val="22"/>
          <w:szCs w:val="22"/>
        </w:rPr>
        <w:t xml:space="preserve">PSC uses two complementary Google Fonts — a serif display face for warmth and authority, paired with a clean sans-serif for clarity and readability.</w:t>
      </w:r>
    </w:p>
    <w:p>
      <w:pPr>
        <w:spacing w:after="120" w:before="120"/>
      </w:pPr>
      <w:r>
        <w:t xml:space="preserve"/>
      </w:r>
    </w:p>
    <w:p>
      <w:pPr>
        <w:pStyle w:val="Heading2"/>
        <w:spacing w:after="120" w:before="240"/>
      </w:pPr>
      <w:r>
        <w:rPr>
          <w:rFonts w:ascii="Georgia" w:cs="Georgia" w:eastAsia="Georgia" w:hAnsi="Georgia"/>
          <w:b w:val="false"/>
          <w:bCs w:val="false"/>
          <w:color w:val="1a2332"/>
          <w:sz w:val="28"/>
          <w:szCs w:val="28"/>
        </w:rPr>
        <w:t xml:space="preserve">Primary Typefaces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e5e7eb" w:sz="1"/>
              <w:left w:val="single" w:color="e5e7eb" w:sz="1"/>
              <w:bottom w:val="single" w:color="e5e7eb" w:sz="1"/>
              <w:right w:val="single" w:color="e5e7eb" w:sz="1"/>
            </w:tcBorders>
            <w:shd w:fill="1a2332" w:val="clear"/>
            <w:tcMar>
              <w:top w:type="dxa" w:w="80"/>
              <w:left w:type="dxa" w:w="140"/>
              <w:bottom w:type="dxa" w:w="80"/>
              <w:right w:type="dxa" w:w="100"/>
            </w:tcMar>
          </w:tcPr>
          <w:p>
            <w:r>
              <w:rPr>
                <w:rFonts w:ascii="Arial" w:cs="Arial" w:eastAsia="Arial" w:hAnsi="Arial"/>
                <w:b/>
                <w:bCs/>
                <w:color w:val="FFFFFF"/>
                <w:sz w:val="18"/>
                <w:szCs w:val="18"/>
              </w:rPr>
              <w:t xml:space="preserve">Typeface</w:t>
            </w:r>
          </w:p>
        </w:tc>
        <w:tc>
          <w:tcPr>
            <w:tcW w:type="dxa" w:w="2800"/>
            <w:tcBorders>
              <w:top w:val="single" w:color="e5e7eb" w:sz="1"/>
              <w:left w:val="single" w:color="e5e7eb" w:sz="1"/>
              <w:bottom w:val="single" w:color="e5e7eb" w:sz="1"/>
              <w:right w:val="single" w:color="e5e7eb" w:sz="1"/>
            </w:tcBorders>
            <w:shd w:fill="1a2332" w:val="clear"/>
            <w:tcMar>
              <w:top w:type="dxa" w:w="80"/>
              <w:left w:type="dxa" w:w="140"/>
              <w:bottom w:type="dxa" w:w="80"/>
              <w:right w:type="dxa" w:w="100"/>
            </w:tcMar>
          </w:tcPr>
          <w:p>
            <w:r>
              <w:rPr>
                <w:rFonts w:ascii="Arial" w:cs="Arial" w:eastAsia="Arial" w:hAnsi="Arial"/>
                <w:b/>
                <w:bCs/>
                <w:color w:val="FFFFFF"/>
                <w:sz w:val="18"/>
                <w:szCs w:val="18"/>
              </w:rPr>
              <w:t xml:space="preserve">Weights</w:t>
            </w:r>
          </w:p>
        </w:tc>
        <w:tc>
          <w:tcPr>
            <w:tcW w:type="dxa" w:w="4160"/>
            <w:tcBorders>
              <w:top w:val="single" w:color="e5e7eb" w:sz="1"/>
              <w:left w:val="single" w:color="e5e7eb" w:sz="1"/>
              <w:bottom w:val="single" w:color="e5e7eb" w:sz="1"/>
              <w:right w:val="single" w:color="e5e7eb" w:sz="1"/>
            </w:tcBorders>
            <w:shd w:fill="1a2332" w:val="clear"/>
            <w:tcMar>
              <w:top w:type="dxa" w:w="80"/>
              <w:left w:type="dxa" w:w="140"/>
              <w:bottom w:type="dxa" w:w="80"/>
              <w:right w:type="dxa" w:w="100"/>
            </w:tcMar>
          </w:tcPr>
          <w:p>
            <w:r>
              <w:rPr>
                <w:rFonts w:ascii="Arial" w:cs="Arial" w:eastAsia="Arial" w:hAnsi="Arial"/>
                <w:b/>
                <w:bCs/>
                <w:color w:val="FFFFFF"/>
                <w:sz w:val="18"/>
                <w:szCs w:val="18"/>
              </w:rPr>
              <w:t xml:space="preserve">Primary usage</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Georgia" w:cs="Georgia" w:eastAsia="Georgia" w:hAnsi="Georgia"/>
                <w:b w:val="false"/>
                <w:bCs w:val="false"/>
                <w:i w:val="false"/>
                <w:iCs w:val="false"/>
                <w:color w:val="1a2332"/>
                <w:sz w:val="24"/>
                <w:szCs w:val="24"/>
              </w:rPr>
              <w:t xml:space="preserve">Crimson Pro</w:t>
            </w:r>
          </w:p>
        </w:tc>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18"/>
                <w:szCs w:val="18"/>
              </w:rPr>
              <w:t xml:space="preserve">Light (300), Regular (400), SemiBold (600)</w:t>
            </w:r>
          </w:p>
        </w:tc>
        <w:tc>
          <w:tcPr>
            <w:tcW w:type="dxa" w:w="41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18"/>
                <w:szCs w:val="18"/>
              </w:rPr>
              <w:t xml:space="preserve">Page headings (H1–H3), pull quotes, hero taglines, product names in callouts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val="false"/>
                <w:bCs w:val="false"/>
                <w:i w:val="false"/>
                <w:iCs w:val="false"/>
                <w:color w:val="1a2332"/>
                <w:sz w:val="22"/>
                <w:szCs w:val="22"/>
              </w:rPr>
              <w:t xml:space="preserve">Work Sans</w:t>
            </w:r>
          </w:p>
        </w:tc>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18"/>
                <w:szCs w:val="18"/>
              </w:rPr>
              <w:t xml:space="preserve">Regular (400), Medium (500), SemiBold (600), Bold (700)</w:t>
            </w:r>
          </w:p>
        </w:tc>
        <w:tc>
          <w:tcPr>
            <w:tcW w:type="dxa" w:w="41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18"/>
                <w:szCs w:val="18"/>
              </w:rPr>
              <w:t xml:space="preserve">All body copy, UI labels, navigation, buttons, captions, metadata</w:t>
            </w:r>
          </w:p>
        </w:tc>
      </w:tr>
    </w:tbl>
    <w:p>
      <w:pPr>
        <w:spacing w:after="120" w:before="120"/>
      </w:pPr>
      <w:r>
        <w:t xml:space="preserve"/>
      </w:r>
    </w:p>
    <w:p>
      <w:pPr>
        <w:pStyle w:val="Heading2"/>
        <w:spacing w:after="120" w:before="240"/>
      </w:pPr>
      <w:r>
        <w:rPr>
          <w:rFonts w:ascii="Georgia" w:cs="Georgia" w:eastAsia="Georgia" w:hAnsi="Georgia"/>
          <w:b w:val="false"/>
          <w:bCs w:val="false"/>
          <w:color w:val="1a2332"/>
          <w:sz w:val="28"/>
          <w:szCs w:val="28"/>
        </w:rPr>
        <w:t xml:space="preserve">Type Scale &amp;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e5e7eb" w:sz="1"/>
              <w:left w:val="single" w:color="e5e7eb" w:sz="1"/>
              <w:bottom w:val="single" w:color="e5e7eb" w:sz="1"/>
              <w:right w:val="single" w:color="e5e7eb" w:sz="1"/>
            </w:tcBorders>
            <w:shd w:fill="1a2332" w:val="clear"/>
            <w:tcMar>
              <w:top w:type="dxa" w:w="80"/>
              <w:left w:type="dxa" w:w="140"/>
              <w:bottom w:type="dxa" w:w="80"/>
              <w:right w:type="dxa" w:w="100"/>
            </w:tcMar>
          </w:tcPr>
          <w:p>
            <w:r>
              <w:rPr>
                <w:rFonts w:ascii="Arial" w:cs="Arial" w:eastAsia="Arial" w:hAnsi="Arial"/>
                <w:b/>
                <w:bCs/>
                <w:color w:val="FFFFFF"/>
                <w:sz w:val="18"/>
                <w:szCs w:val="18"/>
              </w:rPr>
              <w:t xml:space="preserve">Style</w:t>
            </w:r>
          </w:p>
        </w:tc>
        <w:tc>
          <w:tcPr>
            <w:tcW w:type="dxa" w:w="2800"/>
            <w:tcBorders>
              <w:top w:val="single" w:color="e5e7eb" w:sz="1"/>
              <w:left w:val="single" w:color="e5e7eb" w:sz="1"/>
              <w:bottom w:val="single" w:color="e5e7eb" w:sz="1"/>
              <w:right w:val="single" w:color="e5e7eb" w:sz="1"/>
            </w:tcBorders>
            <w:shd w:fill="1a2332" w:val="clear"/>
            <w:tcMar>
              <w:top w:type="dxa" w:w="80"/>
              <w:left w:type="dxa" w:w="140"/>
              <w:bottom w:type="dxa" w:w="80"/>
              <w:right w:type="dxa" w:w="100"/>
            </w:tcMar>
          </w:tcPr>
          <w:p>
            <w:r>
              <w:rPr>
                <w:rFonts w:ascii="Arial" w:cs="Arial" w:eastAsia="Arial" w:hAnsi="Arial"/>
                <w:b/>
                <w:bCs/>
                <w:color w:val="FFFFFF"/>
                <w:sz w:val="18"/>
                <w:szCs w:val="18"/>
              </w:rPr>
              <w:t xml:space="preserve">Size / Weight</w:t>
            </w:r>
          </w:p>
        </w:tc>
        <w:tc>
          <w:tcPr>
            <w:tcW w:type="dxa" w:w="4160"/>
            <w:tcBorders>
              <w:top w:val="single" w:color="e5e7eb" w:sz="1"/>
              <w:left w:val="single" w:color="e5e7eb" w:sz="1"/>
              <w:bottom w:val="single" w:color="e5e7eb" w:sz="1"/>
              <w:right w:val="single" w:color="e5e7eb" w:sz="1"/>
            </w:tcBorders>
            <w:shd w:fill="1a2332" w:val="clear"/>
            <w:tcMar>
              <w:top w:type="dxa" w:w="80"/>
              <w:left w:type="dxa" w:w="140"/>
              <w:bottom w:type="dxa" w:w="80"/>
              <w:right w:type="dxa" w:w="100"/>
            </w:tcMar>
          </w:tcPr>
          <w:p>
            <w:r>
              <w:rPr>
                <w:rFonts w:ascii="Arial" w:cs="Arial" w:eastAsia="Arial" w:hAnsi="Arial"/>
                <w:b/>
                <w:bCs/>
                <w:color w:val="FFFFFF"/>
                <w:sz w:val="18"/>
                <w:szCs w:val="18"/>
              </w:rPr>
              <w:t xml:space="preserve">Context</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Georgia" w:cs="Georgia" w:eastAsia="Georgia" w:hAnsi="Georgia"/>
                <w:b w:val="false"/>
                <w:bCs w:val="false"/>
                <w:i w:val="false"/>
                <w:iCs w:val="false"/>
                <w:color w:val="1a2332"/>
                <w:sz w:val="36"/>
                <w:szCs w:val="36"/>
              </w:rPr>
              <w:t xml:space="preserve">Hero H1</w:t>
            </w:r>
          </w:p>
        </w:tc>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18"/>
                <w:szCs w:val="18"/>
              </w:rPr>
              <w:t xml:space="preserve">Crimson Pro · 3rem / Light 300</w:t>
            </w:r>
          </w:p>
        </w:tc>
        <w:tc>
          <w:tcPr>
            <w:tcW w:type="dxa" w:w="41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18"/>
                <w:szCs w:val="18"/>
              </w:rPr>
              <w:t xml:space="preserve">Page hero headlines, primary section openers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Georgia" w:cs="Georgia" w:eastAsia="Georgia" w:hAnsi="Georgia"/>
                <w:b w:val="false"/>
                <w:bCs w:val="false"/>
                <w:i w:val="false"/>
                <w:iCs w:val="false"/>
                <w:color w:val="1a2332"/>
                <w:sz w:val="28"/>
                <w:szCs w:val="28"/>
              </w:rPr>
              <w:t xml:space="preserve">Section H2</w:t>
            </w:r>
          </w:p>
        </w:tc>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18"/>
                <w:szCs w:val="18"/>
              </w:rPr>
              <w:t xml:space="preserve">Crimson Pro · 2rem / Regular 400</w:t>
            </w:r>
          </w:p>
        </w:tc>
        <w:tc>
          <w:tcPr>
            <w:tcW w:type="dxa" w:w="41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18"/>
                <w:szCs w:val="18"/>
              </w:rPr>
              <w:t xml:space="preserve">Main section headings (About, Products, Why PSC)</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Georgia" w:cs="Georgia" w:eastAsia="Georgia" w:hAnsi="Georgia"/>
                <w:b w:val="false"/>
                <w:bCs w:val="false"/>
                <w:i w:val="false"/>
                <w:iCs w:val="false"/>
                <w:color w:val="1a2332"/>
                <w:sz w:val="24"/>
                <w:szCs w:val="24"/>
              </w:rPr>
              <w:t xml:space="preserve">Card H3</w:t>
            </w:r>
          </w:p>
        </w:tc>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18"/>
                <w:szCs w:val="18"/>
              </w:rPr>
              <w:t xml:space="preserve">Crimson Pro · 1.5rem / Regular 400</w:t>
            </w:r>
          </w:p>
        </w:tc>
        <w:tc>
          <w:tcPr>
            <w:tcW w:type="dxa" w:w="41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18"/>
                <w:szCs w:val="18"/>
              </w:rPr>
              <w:t xml:space="preserve">Product card names, service headers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val="false"/>
                <w:bCs w:val="false"/>
                <w:i w:val="false"/>
                <w:iCs w:val="false"/>
                <w:color w:val="1a2332"/>
                <w:sz w:val="22"/>
                <w:szCs w:val="22"/>
              </w:rPr>
              <w:t xml:space="preserve">Body Large</w:t>
            </w:r>
          </w:p>
        </w:tc>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18"/>
                <w:szCs w:val="18"/>
              </w:rPr>
              <w:t xml:space="preserve">Work Sans · 1.35rem / Regular 400</w:t>
            </w:r>
          </w:p>
        </w:tc>
        <w:tc>
          <w:tcPr>
            <w:tcW w:type="dxa" w:w="41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18"/>
                <w:szCs w:val="18"/>
              </w:rPr>
              <w:t xml:space="preserve">Hero intro paragraph, feature descriptions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val="false"/>
                <w:bCs w:val="false"/>
                <w:i w:val="false"/>
                <w:iCs w:val="false"/>
                <w:color w:val="1a2332"/>
                <w:sz w:val="20"/>
                <w:szCs w:val="20"/>
              </w:rPr>
              <w:t xml:space="preserve">Body</w:t>
            </w:r>
          </w:p>
        </w:tc>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18"/>
                <w:szCs w:val="18"/>
              </w:rPr>
              <w:t xml:space="preserve">Work Sans · 1rem / Regular 400</w:t>
            </w:r>
          </w:p>
        </w:tc>
        <w:tc>
          <w:tcPr>
            <w:tcW w:type="dxa" w:w="41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18"/>
                <w:szCs w:val="18"/>
              </w:rPr>
              <w:t xml:space="preserve">Standard body copy, line-height 1.7</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i w:val="false"/>
                <w:iCs w:val="false"/>
                <w:color w:val="1a2332"/>
                <w:sz w:val="18"/>
                <w:szCs w:val="18"/>
              </w:rPr>
              <w:t xml:space="preserve">Eyebrow / Label</w:t>
            </w:r>
          </w:p>
        </w:tc>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18"/>
                <w:szCs w:val="18"/>
              </w:rPr>
              <w:t xml:space="preserve">Work Sans · 0.85rem / Bold · ALL CAPS · tracked</w:t>
            </w:r>
          </w:p>
        </w:tc>
        <w:tc>
          <w:tcPr>
            <w:tcW w:type="dxa" w:w="41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18"/>
                <w:szCs w:val="18"/>
              </w:rPr>
              <w:t xml:space="preserve">Section eyebrows, category tags, status pills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val="false"/>
                <w:bCs w:val="false"/>
                <w:i/>
                <w:iCs/>
                <w:color w:val="1a2332"/>
                <w:sz w:val="18"/>
                <w:szCs w:val="18"/>
              </w:rPr>
              <w:t xml:space="preserve">Caption / Meta</w:t>
            </w:r>
          </w:p>
        </w:tc>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18"/>
                <w:szCs w:val="18"/>
              </w:rPr>
              <w:t xml:space="preserve">Work Sans · 0.9rem / Regular · italic</w:t>
            </w:r>
          </w:p>
        </w:tc>
        <w:tc>
          <w:tcPr>
            <w:tcW w:type="dxa" w:w="41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18"/>
                <w:szCs w:val="18"/>
              </w:rPr>
              <w:t xml:space="preserve">Disclaimers, footnotes, image captions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i w:val="false"/>
                <w:iCs w:val="false"/>
                <w:color w:val="1a2332"/>
                <w:sz w:val="20"/>
                <w:szCs w:val="20"/>
              </w:rPr>
              <w:t xml:space="preserve">CTA Button</w:t>
            </w:r>
          </w:p>
        </w:tc>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18"/>
                <w:szCs w:val="18"/>
              </w:rPr>
              <w:t xml:space="preserve">Work Sans · 1rem / SemiBold 600</w:t>
            </w:r>
          </w:p>
        </w:tc>
        <w:tc>
          <w:tcPr>
            <w:tcW w:type="dxa" w:w="41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18"/>
                <w:szCs w:val="18"/>
              </w:rPr>
              <w:t xml:space="preserve">All call-to-action buttons</w:t>
            </w:r>
          </w:p>
        </w:tc>
      </w:tr>
    </w:tbl>
    <w:p>
      <w:pPr>
        <w:spacing w:after="60" w:before="60"/>
      </w:pPr>
      <w:r>
        <w:t xml:space="preserve"/>
      </w:r>
    </w:p>
    <w:p>
      <w:pPr>
        <w:spacing w:after="60" w:before="60"/>
      </w:pPr>
      <w:r>
        <w:rPr>
          <w:rFonts w:ascii="Arial" w:cs="Arial" w:eastAsia="Arial" w:hAnsi="Arial"/>
          <w:i/>
          <w:iCs/>
          <w:color w:val="6b7280"/>
          <w:sz w:val="18"/>
          <w:szCs w:val="18"/>
        </w:rPr>
        <w:t xml:space="preserve">Line-height for body copy is 1.7. Letter-spacing for eyebrow labels is +0.05em. Heading letter-spacing is -0.03em (tighter than default for a premium feel).</w:t>
      </w:r>
    </w:p>
    <w:p>
      <w:pPr>
        <w:spacing w:after="120" w:before="120"/>
      </w:pPr>
      <w:r>
        <w:t xml:space="preserve"/>
      </w:r>
    </w:p>
    <w:p>
      <w:r>
        <w:br w:type="page"/>
      </w:r>
    </w:p>
    <w:p>
      <w:pPr>
        <w:spacing w:after="80" w:before="480"/>
      </w:pPr>
      <w:r>
        <w:rPr>
          <w:rFonts w:ascii="Arial" w:cs="Arial" w:eastAsia="Arial" w:hAnsi="Arial"/>
          <w:b/>
          <w:bCs/>
          <w:color w:val="6b7280"/>
          <w:spacing w:val="120"/>
          <w:sz w:val="16"/>
          <w:szCs w:val="16"/>
        </w:rPr>
        <w:t xml:space="preserve">04 — LOGO GUIDELINES</w:t>
      </w:r>
    </w:p>
    <w:p>
      <w:pPr>
        <w:pStyle w:val="Heading1"/>
        <w:spacing w:after="160" w:before="0"/>
      </w:pPr>
      <w:r>
        <w:rPr>
          <w:rFonts w:ascii="Georgia" w:cs="Georgia" w:eastAsia="Georgia" w:hAnsi="Georgia"/>
          <w:b w:val="false"/>
          <w:bCs w:val="false"/>
          <w:color w:val="1a2332"/>
          <w:sz w:val="40"/>
          <w:szCs w:val="40"/>
        </w:rPr>
        <w:t xml:space="preserve">Logo Usage</w:t>
      </w:r>
    </w:p>
    <w:p>
      <w:pPr>
        <w:pBdr>
          <w:bottom w:val="single" w:color="1a2332" w:sz="12" w:space="1"/>
        </w:pBdr>
        <w:spacing w:after="240" w:before="40"/>
      </w:pPr>
      <w:r>
        <w:t xml:space="preserve"/>
      </w:r>
    </w:p>
    <w:p>
      <w:pPr>
        <w:spacing w:after="120" w:before="0"/>
      </w:pPr>
      <w:r>
        <w:rPr>
          <w:rFonts w:ascii="Arial" w:cs="Arial" w:eastAsia="Arial" w:hAnsi="Arial"/>
          <w:color w:val="2c3e50"/>
          <w:sz w:val="22"/>
          <w:szCs w:val="22"/>
        </w:rPr>
        <w:t xml:space="preserve">The PSC logo is a platinum/silver ascending-bars mark on dark navy — representing growth, progress, and upward trajectory. It exists in two primary configurations:</w:t>
      </w:r>
    </w:p>
    <w:p>
      <w:pPr>
        <w:spacing w:after="60" w:before="60"/>
      </w:pPr>
      <w:r>
        <w:t xml:space="preserve"/>
      </w:r>
    </w:p>
    <w:p>
      <w:pPr>
        <w:pStyle w:val="ListParagraph"/>
        <w:numPr>
          <w:ilvl w:val="0"/>
          <w:numId w:val="2"/>
        </w:numPr>
        <w:spacing w:after="60" w:before="60"/>
      </w:pPr>
      <w:r>
        <w:rPr>
          <w:rFonts w:ascii="Arial" w:cs="Arial" w:eastAsia="Arial" w:hAnsi="Arial"/>
          <w:color w:val="2c3e50"/>
          <w:sz w:val="22"/>
          <w:szCs w:val="22"/>
        </w:rPr>
        <w:t xml:space="preserve">Full lockup (wordmark + icon): Use on hero sections, footers, email headers, and any surface where the brand needs to be introduced</w:t>
      </w:r>
    </w:p>
    <w:p>
      <w:pPr>
        <w:pStyle w:val="ListParagraph"/>
        <w:numPr>
          <w:ilvl w:val="0"/>
          <w:numId w:val="2"/>
        </w:numPr>
        <w:spacing w:after="60" w:before="60"/>
      </w:pPr>
      <w:r>
        <w:rPr>
          <w:rFonts w:ascii="Arial" w:cs="Arial" w:eastAsia="Arial" w:hAnsi="Arial"/>
          <w:color w:val="2c3e50"/>
          <w:sz w:val="22"/>
          <w:szCs w:val="22"/>
        </w:rPr>
        <w:t xml:space="preserve">Icon only: Use as favicon, social profile image, app icon, or in contexts where the brand is already established</w:t>
      </w:r>
    </w:p>
    <w:p>
      <w:pPr>
        <w:spacing w:after="120" w:before="120"/>
      </w:pPr>
      <w:r>
        <w:t xml:space="preserve"/>
      </w:r>
    </w:p>
    <w:p>
      <w:pPr>
        <w:pStyle w:val="Heading2"/>
        <w:spacing w:after="120" w:before="240"/>
      </w:pPr>
      <w:r>
        <w:rPr>
          <w:rFonts w:ascii="Georgia" w:cs="Georgia" w:eastAsia="Georgia" w:hAnsi="Georgia"/>
          <w:b w:val="false"/>
          <w:bCs w:val="false"/>
          <w:color w:val="1a2332"/>
          <w:sz w:val="28"/>
          <w:szCs w:val="28"/>
        </w:rPr>
        <w:t xml:space="preserve">Clear Space</w:t>
      </w:r>
    </w:p>
    <w:p>
      <w:pPr>
        <w:spacing w:after="120" w:before="0"/>
      </w:pPr>
      <w:r>
        <w:rPr>
          <w:rFonts w:ascii="Arial" w:cs="Arial" w:eastAsia="Arial" w:hAnsi="Arial"/>
          <w:color w:val="2c3e50"/>
          <w:sz w:val="22"/>
          <w:szCs w:val="22"/>
        </w:rPr>
        <w:t xml:space="preserve">Maintain a minimum clear space around the logo equal to the height of the "P" in "PSC" on all sides. Never crowd the logo with text or other graphic elements.</w:t>
      </w:r>
    </w:p>
    <w:p>
      <w:pPr>
        <w:spacing w:after="120" w:before="120"/>
      </w:pPr>
      <w:r>
        <w:t xml:space="preserve"/>
      </w:r>
    </w:p>
    <w:p>
      <w:pPr>
        <w:pStyle w:val="Heading2"/>
        <w:spacing w:after="120" w:before="240"/>
      </w:pPr>
      <w:r>
        <w:rPr>
          <w:rFonts w:ascii="Georgia" w:cs="Georgia" w:eastAsia="Georgia" w:hAnsi="Georgia"/>
          <w:b w:val="false"/>
          <w:bCs w:val="false"/>
          <w:color w:val="1a2332"/>
          <w:sz w:val="28"/>
          <w:szCs w:val="28"/>
        </w:rPr>
        <w:t xml:space="preserve">Logo on Backgrounds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e5e7eb" w:sz="1"/>
              <w:left w:val="single" w:color="e5e7eb" w:sz="1"/>
              <w:bottom w:val="single" w:color="e5e7eb" w:sz="1"/>
              <w:right w:val="single" w:color="e5e7eb" w:sz="1"/>
            </w:tcBorders>
            <w:shd w:fill="22c5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88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2c3e50"/>
                <w:sz w:val="20"/>
                <w:szCs w:val="20"/>
              </w:rPr>
              <w:t xml:space="preserve">Dark navy background (#1a2332) — preferred primary usage</w:t>
            </w:r>
          </w:p>
        </w:tc>
      </w:tr>
      <w:tr>
        <w:tc>
          <w:tcPr>
            <w:tcW w:type="dxa" w:w="480"/>
            <w:tcBorders>
              <w:top w:val="single" w:color="e5e7eb" w:sz="1"/>
              <w:left w:val="single" w:color="e5e7eb" w:sz="1"/>
              <w:bottom w:val="single" w:color="e5e7eb" w:sz="1"/>
              <w:right w:val="single" w:color="e5e7eb" w:sz="1"/>
            </w:tcBorders>
            <w:shd w:fill="22c5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88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2c3e50"/>
                <w:sz w:val="20"/>
                <w:szCs w:val="20"/>
              </w:rPr>
              <w:t xml:space="preserve">Light gray or white background with navy-colored logo variant</w:t>
            </w:r>
          </w:p>
        </w:tc>
      </w:tr>
      <w:tr>
        <w:tc>
          <w:tcPr>
            <w:tcW w:type="dxa" w:w="480"/>
            <w:tcBorders>
              <w:top w:val="single" w:color="e5e7eb" w:sz="1"/>
              <w:left w:val="single" w:color="e5e7eb" w:sz="1"/>
              <w:bottom w:val="single" w:color="e5e7eb" w:sz="1"/>
              <w:right w:val="single" w:color="e5e7eb" w:sz="1"/>
            </w:tcBorders>
            <w:shd w:fill="22c5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88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2c3e50"/>
                <w:sz w:val="20"/>
                <w:szCs w:val="20"/>
              </w:rPr>
              <w:t xml:space="preserve">Maintain sufficient contrast in all placements (minimum 4.5:1 ratio)</w:t>
            </w:r>
          </w:p>
        </w:tc>
      </w:tr>
      <w:tr>
        <w:tc>
          <w:tcPr>
            <w:tcW w:type="dxa" w:w="480"/>
            <w:tcBorders>
              <w:top w:val="single" w:color="e5e7eb" w:sz="1"/>
              <w:left w:val="single" w:color="e5e7eb" w:sz="1"/>
              <w:bottom w:val="single" w:color="e5e7eb" w:sz="1"/>
              <w:right w:val="single" w:color="e5e7eb" w:sz="1"/>
            </w:tcBorders>
            <w:shd w:fill="dc262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88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2c3e50"/>
                <w:sz w:val="20"/>
                <w:szCs w:val="20"/>
              </w:rPr>
              <w:t xml:space="preserve">Do not place the logo on busy photographic backgrounds</w:t>
            </w:r>
          </w:p>
        </w:tc>
      </w:tr>
      <w:tr>
        <w:tc>
          <w:tcPr>
            <w:tcW w:type="dxa" w:w="480"/>
            <w:tcBorders>
              <w:top w:val="single" w:color="e5e7eb" w:sz="1"/>
              <w:left w:val="single" w:color="e5e7eb" w:sz="1"/>
              <w:bottom w:val="single" w:color="e5e7eb" w:sz="1"/>
              <w:right w:val="single" w:color="e5e7eb" w:sz="1"/>
            </w:tcBorders>
            <w:shd w:fill="dc262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88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2c3e50"/>
                <w:sz w:val="20"/>
                <w:szCs w:val="20"/>
              </w:rPr>
              <w:t xml:space="preserve">Do not recolor the logo in gold, green, or any non-brand color</w:t>
            </w:r>
          </w:p>
        </w:tc>
      </w:tr>
      <w:tr>
        <w:tc>
          <w:tcPr>
            <w:tcW w:type="dxa" w:w="480"/>
            <w:tcBorders>
              <w:top w:val="single" w:color="e5e7eb" w:sz="1"/>
              <w:left w:val="single" w:color="e5e7eb" w:sz="1"/>
              <w:bottom w:val="single" w:color="e5e7eb" w:sz="1"/>
              <w:right w:val="single" w:color="e5e7eb" w:sz="1"/>
            </w:tcBorders>
            <w:shd w:fill="dc262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88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2c3e50"/>
                <w:sz w:val="20"/>
                <w:szCs w:val="20"/>
              </w:rPr>
              <w:t xml:space="preserve">Do not stretch, distort, rotate, or add drop shadows to the logo</w:t>
            </w:r>
          </w:p>
        </w:tc>
      </w:tr>
      <w:tr>
        <w:tc>
          <w:tcPr>
            <w:tcW w:type="dxa" w:w="480"/>
            <w:tcBorders>
              <w:top w:val="single" w:color="e5e7eb" w:sz="1"/>
              <w:left w:val="single" w:color="e5e7eb" w:sz="1"/>
              <w:bottom w:val="single" w:color="e5e7eb" w:sz="1"/>
              <w:right w:val="single" w:color="e5e7eb" w:sz="1"/>
            </w:tcBorders>
            <w:shd w:fill="dc262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88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2c3e50"/>
                <w:sz w:val="20"/>
                <w:szCs w:val="20"/>
              </w:rPr>
              <w:t xml:space="preserve">Do not use the logo at sizes smaller than 120px wide (digital) or 1 inch (print)</w:t>
            </w:r>
          </w:p>
        </w:tc>
      </w:tr>
    </w:tbl>
    <w:p>
      <w:pPr>
        <w:spacing w:after="120" w:before="120"/>
      </w:pPr>
      <w:r>
        <w:t xml:space="preserve"/>
      </w:r>
    </w:p>
    <w:p>
      <w:pPr>
        <w:pStyle w:val="Heading2"/>
        <w:spacing w:after="120" w:before="240"/>
      </w:pPr>
      <w:r>
        <w:rPr>
          <w:rFonts w:ascii="Georgia" w:cs="Georgia" w:eastAsia="Georgia" w:hAnsi="Georgia"/>
          <w:b w:val="false"/>
          <w:bCs w:val="false"/>
          <w:color w:val="1a2332"/>
          <w:sz w:val="28"/>
          <w:szCs w:val="28"/>
        </w:rPr>
        <w:t xml:space="preserve">File Formats</w:t>
      </w:r>
    </w:p>
    <w:p>
      <w:pPr>
        <w:pStyle w:val="ListParagraph"/>
        <w:numPr>
          <w:ilvl w:val="0"/>
          <w:numId w:val="2"/>
        </w:numPr>
        <w:spacing w:after="60" w:before="60"/>
      </w:pPr>
      <w:r>
        <w:rPr>
          <w:rFonts w:ascii="Arial" w:cs="Arial" w:eastAsia="Arial" w:hAnsi="Arial"/>
          <w:color w:val="2c3e50"/>
          <w:sz w:val="22"/>
          <w:szCs w:val="22"/>
        </w:rPr>
        <w:t xml:space="preserve">PNG (transparent): for web, email, and digital documents</w:t>
      </w:r>
    </w:p>
    <w:p>
      <w:pPr>
        <w:pStyle w:val="ListParagraph"/>
        <w:numPr>
          <w:ilvl w:val="0"/>
          <w:numId w:val="2"/>
        </w:numPr>
        <w:spacing w:after="60" w:before="60"/>
      </w:pPr>
      <w:r>
        <w:rPr>
          <w:rFonts w:ascii="Arial" w:cs="Arial" w:eastAsia="Arial" w:hAnsi="Arial"/>
          <w:color w:val="2c3e50"/>
          <w:sz w:val="22"/>
          <w:szCs w:val="22"/>
        </w:rPr>
        <w:t xml:space="preserve">SVG: for scalable applications — web icons, presentations, print-ready files</w:t>
      </w:r>
    </w:p>
    <w:p>
      <w:pPr>
        <w:pStyle w:val="ListParagraph"/>
        <w:numPr>
          <w:ilvl w:val="0"/>
          <w:numId w:val="2"/>
        </w:numPr>
        <w:spacing w:after="60" w:before="60"/>
      </w:pPr>
      <w:r>
        <w:rPr>
          <w:rFonts w:ascii="Arial" w:cs="Arial" w:eastAsia="Arial" w:hAnsi="Arial"/>
          <w:color w:val="2c3e50"/>
          <w:sz w:val="22"/>
          <w:szCs w:val="22"/>
        </w:rPr>
        <w:t xml:space="preserve">Source file: Always maintain a layered source file for any future adjustments</w:t>
      </w:r>
    </w:p>
    <w:p>
      <w:pPr>
        <w:spacing w:after="60" w:before="60"/>
      </w:pPr>
      <w:r>
        <w:t xml:space="preserve"/>
      </w:r>
    </w:p>
    <w:p>
      <w:pPr>
        <w:spacing w:after="120" w:before="0"/>
      </w:pPr>
      <w:r>
        <w:rPr>
          <w:rFonts w:ascii="Arial" w:cs="Arial" w:eastAsia="Arial" w:hAnsi="Arial"/>
          <w:color w:val="2c3e50"/>
          <w:sz w:val="22"/>
          <w:szCs w:val="22"/>
        </w:rPr>
        <w:t xml:space="preserve">Current logo file in use: /public/psc-logo-full.png (1600×533px)</w:t>
      </w:r>
    </w:p>
    <w:p>
      <w:pPr>
        <w:spacing w:after="120" w:before="120"/>
      </w:pPr>
      <w:r>
        <w:t xml:space="preserve"/>
      </w:r>
    </w:p>
    <w:p>
      <w:r>
        <w:br w:type="page"/>
      </w:r>
    </w:p>
    <w:p>
      <w:pPr>
        <w:spacing w:after="80" w:before="480"/>
      </w:pPr>
      <w:r>
        <w:rPr>
          <w:rFonts w:ascii="Arial" w:cs="Arial" w:eastAsia="Arial" w:hAnsi="Arial"/>
          <w:b/>
          <w:bCs/>
          <w:color w:val="6b7280"/>
          <w:spacing w:val="120"/>
          <w:sz w:val="16"/>
          <w:szCs w:val="16"/>
        </w:rPr>
        <w:t xml:space="preserve">05 — BRAND VOICE &amp; MESSAGING</w:t>
      </w:r>
    </w:p>
    <w:p>
      <w:pPr>
        <w:pStyle w:val="Heading1"/>
        <w:spacing w:after="160" w:before="0"/>
      </w:pPr>
      <w:r>
        <w:rPr>
          <w:rFonts w:ascii="Georgia" w:cs="Georgia" w:eastAsia="Georgia" w:hAnsi="Georgia"/>
          <w:b w:val="false"/>
          <w:bCs w:val="false"/>
          <w:color w:val="1a2332"/>
          <w:sz w:val="40"/>
          <w:szCs w:val="40"/>
        </w:rPr>
        <w:t xml:space="preserve">How PSC Sounds</w:t>
      </w:r>
    </w:p>
    <w:p>
      <w:pPr>
        <w:pBdr>
          <w:bottom w:val="single" w:color="1a2332" w:sz="12" w:space="1"/>
        </w:pBdr>
        <w:spacing w:after="240" w:before="40"/>
      </w:pPr>
      <w:r>
        <w:t xml:space="preserve"/>
      </w:r>
    </w:p>
    <w:p>
      <w:pPr>
        <w:spacing w:after="120" w:before="0"/>
      </w:pPr>
      <w:r>
        <w:rPr>
          <w:rFonts w:ascii="Arial" w:cs="Arial" w:eastAsia="Arial" w:hAnsi="Arial"/>
          <w:color w:val="2c3e50"/>
          <w:sz w:val="22"/>
          <w:szCs w:val="22"/>
        </w:rPr>
        <w:t xml:space="preserve">PSC's voice is grounded in real experience. It's the voice of a coach who has been a recruited player, evaluated prospects from a coaching staff, and guided families through the process. It does not oversell. It does not make promises. It educates, clarifies, and advises.</w:t>
      </w:r>
    </w:p>
    <w:p>
      <w:pPr>
        <w:spacing w:after="120" w:before="120"/>
      </w:pPr>
      <w:r>
        <w:t xml:space="preserve"/>
      </w:r>
    </w:p>
    <w:p>
      <w:pPr>
        <w:pStyle w:val="Heading2"/>
        <w:spacing w:after="120" w:before="240"/>
      </w:pPr>
      <w:r>
        <w:rPr>
          <w:rFonts w:ascii="Georgia" w:cs="Georgia" w:eastAsia="Georgia" w:hAnsi="Georgia"/>
          <w:b w:val="false"/>
          <w:bCs w:val="false"/>
          <w:color w:val="1a2332"/>
          <w:sz w:val="28"/>
          <w:szCs w:val="28"/>
        </w:rPr>
        <w:t xml:space="preserve">Voice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1a2332" w:val="clear"/>
            <w:tcMar>
              <w:top w:type="dxa" w:w="80"/>
              <w:left w:type="dxa" w:w="140"/>
              <w:bottom w:type="dxa" w:w="80"/>
              <w:right w:type="dxa" w:w="100"/>
            </w:tcMar>
          </w:tcPr>
          <w:p>
            <w:r>
              <w:rPr>
                <w:rFonts w:ascii="Arial" w:cs="Arial" w:eastAsia="Arial" w:hAnsi="Arial"/>
                <w:b/>
                <w:bCs/>
                <w:color w:val="FFFFFF"/>
                <w:sz w:val="18"/>
                <w:szCs w:val="18"/>
              </w:rPr>
              <w:t xml:space="preserve">Pillar</w:t>
            </w:r>
          </w:p>
        </w:tc>
        <w:tc>
          <w:tcPr>
            <w:tcW w:type="dxa" w:w="7160"/>
            <w:tcBorders>
              <w:top w:val="single" w:color="e5e7eb" w:sz="1"/>
              <w:left w:val="single" w:color="e5e7eb" w:sz="1"/>
              <w:bottom w:val="single" w:color="e5e7eb" w:sz="1"/>
              <w:right w:val="single" w:color="e5e7eb" w:sz="1"/>
            </w:tcBorders>
            <w:shd w:fill="1a2332" w:val="clear"/>
            <w:tcMar>
              <w:top w:type="dxa" w:w="80"/>
              <w:left w:type="dxa" w:w="140"/>
              <w:bottom w:type="dxa" w:w="80"/>
              <w:right w:type="dxa" w:w="100"/>
            </w:tcMar>
          </w:tcPr>
          <w:p>
            <w:r>
              <w:rPr>
                <w:rFonts w:ascii="Arial" w:cs="Arial" w:eastAsia="Arial" w:hAnsi="Arial"/>
                <w:b/>
                <w:bCs/>
                <w:color w:val="FFFFFF"/>
                <w:sz w:val="18"/>
                <w:szCs w:val="18"/>
              </w:rPr>
              <w:t xml:space="preserve">What it means</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color w:val="1a2332"/>
                <w:sz w:val="20"/>
                <w:szCs w:val="20"/>
              </w:rPr>
              <w:t xml:space="preserve">Experience-grounded</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20"/>
                <w:szCs w:val="20"/>
              </w:rPr>
              <w:t xml:space="preserve">Every claim traces back to lived experience. We speak with authority because we've been on both sides of the recruiting table. Reference credentials naturally, without bragging.</w:t>
            </w:r>
          </w:p>
        </w:tc>
      </w:tr>
      <w:tr>
        <w:tc>
          <w:tcPr>
            <w:tcW w:type="dxa" w:w="2200"/>
            <w:tcBorders>
              <w:top w:val="single" w:color="e5e7eb" w:sz="1"/>
              <w:left w:val="single" w:color="e5e7eb" w:sz="1"/>
              <w:bottom w:val="single" w:color="e5e7eb" w:sz="1"/>
              <w:right w:val="single" w:color="e5e7eb" w:sz="1"/>
            </w:tcBorders>
            <w:shd w:fill="e5ecf2" w:val="clear"/>
            <w:tcMar>
              <w:top w:type="dxa" w:w="100"/>
              <w:left w:type="dxa" w:w="140"/>
              <w:bottom w:type="dxa" w:w="100"/>
              <w:right w:type="dxa" w:w="100"/>
            </w:tcMar>
          </w:tcPr>
          <w:p>
            <w:r>
              <w:rPr>
                <w:rFonts w:ascii="Arial" w:cs="Arial" w:eastAsia="Arial" w:hAnsi="Arial"/>
                <w:b/>
                <w:bCs/>
                <w:color w:val="1a2332"/>
                <w:sz w:val="20"/>
                <w:szCs w:val="20"/>
              </w:rPr>
              <w:t xml:space="preserve">Honest, no shortcuts</w:t>
            </w:r>
          </w:p>
        </w:tc>
        <w:tc>
          <w:tcPr>
            <w:tcW w:type="dxa" w:w="7160"/>
            <w:tcBorders>
              <w:top w:val="single" w:color="e5e7eb" w:sz="1"/>
              <w:left w:val="single" w:color="e5e7eb" w:sz="1"/>
              <w:bottom w:val="single" w:color="e5e7eb" w:sz="1"/>
              <w:right w:val="single" w:color="e5e7eb" w:sz="1"/>
            </w:tcBorders>
            <w:shd w:fill="e5ecf2" w:val="clear"/>
            <w:tcMar>
              <w:top w:type="dxa" w:w="100"/>
              <w:left w:type="dxa" w:w="140"/>
              <w:bottom w:type="dxa" w:w="100"/>
              <w:right w:type="dxa" w:w="100"/>
            </w:tcMar>
          </w:tcPr>
          <w:p>
            <w:r>
              <w:rPr>
                <w:rFonts w:ascii="Arial" w:cs="Arial" w:eastAsia="Arial" w:hAnsi="Arial"/>
                <w:color w:val="2c3e50"/>
                <w:sz w:val="20"/>
                <w:szCs w:val="20"/>
              </w:rPr>
              <w:t xml:space="preserve">We do not guarantee scholarships, roster spots, or recruiting outcomes. We set realistic expectations, even when that's harder to say than what families want to hear.</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color w:val="1a2332"/>
                <w:sz w:val="20"/>
                <w:szCs w:val="20"/>
              </w:rPr>
              <w:t xml:space="preserve">Direct, not corporate</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20"/>
                <w:szCs w:val="20"/>
              </w:rPr>
              <w:t xml:space="preserve">Short sentences. Active verbs. No jargon unless the audience knows it cold. Say "schedule a call" not "initiate a consultation engagement." Get to the point.</w:t>
            </w:r>
          </w:p>
        </w:tc>
      </w:tr>
      <w:tr>
        <w:tc>
          <w:tcPr>
            <w:tcW w:type="dxa" w:w="2200"/>
            <w:tcBorders>
              <w:top w:val="single" w:color="e5e7eb" w:sz="1"/>
              <w:left w:val="single" w:color="e5e7eb" w:sz="1"/>
              <w:bottom w:val="single" w:color="e5e7eb" w:sz="1"/>
              <w:right w:val="single" w:color="e5e7eb" w:sz="1"/>
            </w:tcBorders>
            <w:shd w:fill="e5ecf2" w:val="clear"/>
            <w:tcMar>
              <w:top w:type="dxa" w:w="100"/>
              <w:left w:type="dxa" w:w="140"/>
              <w:bottom w:type="dxa" w:w="100"/>
              <w:right w:type="dxa" w:w="100"/>
            </w:tcMar>
          </w:tcPr>
          <w:p>
            <w:r>
              <w:rPr>
                <w:rFonts w:ascii="Arial" w:cs="Arial" w:eastAsia="Arial" w:hAnsi="Arial"/>
                <w:b/>
                <w:bCs/>
                <w:color w:val="1a2332"/>
                <w:sz w:val="20"/>
                <w:szCs w:val="20"/>
              </w:rPr>
              <w:t xml:space="preserve">Empowering, not fear-based</w:t>
            </w:r>
          </w:p>
        </w:tc>
        <w:tc>
          <w:tcPr>
            <w:tcW w:type="dxa" w:w="7160"/>
            <w:tcBorders>
              <w:top w:val="single" w:color="e5e7eb" w:sz="1"/>
              <w:left w:val="single" w:color="e5e7eb" w:sz="1"/>
              <w:bottom w:val="single" w:color="e5e7eb" w:sz="1"/>
              <w:right w:val="single" w:color="e5e7eb" w:sz="1"/>
            </w:tcBorders>
            <w:shd w:fill="e5ecf2" w:val="clear"/>
            <w:tcMar>
              <w:top w:type="dxa" w:w="100"/>
              <w:left w:type="dxa" w:w="140"/>
              <w:bottom w:type="dxa" w:w="100"/>
              <w:right w:type="dxa" w:w="100"/>
            </w:tcMar>
          </w:tcPr>
          <w:p>
            <w:r>
              <w:rPr>
                <w:rFonts w:ascii="Arial" w:cs="Arial" w:eastAsia="Arial" w:hAnsi="Arial"/>
                <w:color w:val="2c3e50"/>
                <w:sz w:val="20"/>
                <w:szCs w:val="20"/>
              </w:rPr>
              <w:t xml:space="preserve">We help people make better decisions in a complex environment — not by amplifying anxiety, but by providing structure and clarity. Lead with what is possible, not what is scary.</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b/>
                <w:bCs/>
                <w:color w:val="1a2332"/>
                <w:sz w:val="20"/>
                <w:szCs w:val="20"/>
              </w:rPr>
              <w:t xml:space="preserve">Sport-agnostic</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color w:val="2c3e50"/>
                <w:sz w:val="20"/>
                <w:szCs w:val="20"/>
              </w:rPr>
              <w:t xml:space="preserve">The problems are universal. Avoid saying "soccer families" when the platforms serve every sport. Say "athletes," "families," "clubs" — not "soccer players," "soccer moms," "soccer clubs."</w:t>
            </w:r>
          </w:p>
        </w:tc>
      </w:tr>
    </w:tbl>
    <w:p>
      <w:pPr>
        <w:spacing w:after="120" w:before="120"/>
      </w:pPr>
      <w:r>
        <w:t xml:space="preserve"/>
      </w:r>
    </w:p>
    <w:p>
      <w:pPr>
        <w:pStyle w:val="Heading2"/>
        <w:spacing w:after="120" w:before="240"/>
      </w:pPr>
      <w:r>
        <w:rPr>
          <w:rFonts w:ascii="Georgia" w:cs="Georgia" w:eastAsia="Georgia" w:hAnsi="Georgia"/>
          <w:b w:val="false"/>
          <w:bCs w:val="false"/>
          <w:color w:val="1a2332"/>
          <w:sz w:val="28"/>
          <w:szCs w:val="28"/>
        </w:rPr>
        <w:t xml:space="preserve">Core Taglines</w:t>
      </w:r>
    </w:p>
    <w:p>
      <w:pPr>
        <w:pStyle w:val="ListParagraph"/>
        <w:numPr>
          <w:ilvl w:val="0"/>
          <w:numId w:val="2"/>
        </w:numPr>
        <w:spacing w:after="60" w:before="60"/>
      </w:pPr>
      <w:r>
        <w:rPr>
          <w:rFonts w:ascii="Arial" w:cs="Arial" w:eastAsia="Arial" w:hAnsi="Arial"/>
          <w:color w:val="2c3e50"/>
          <w:sz w:val="22"/>
          <w:szCs w:val="22"/>
        </w:rPr>
        <w:t xml:space="preserve">Parent brand: "Recruiting and club operations, redesigned for every sport."</w:t>
      </w:r>
    </w:p>
    <w:p>
      <w:pPr>
        <w:pStyle w:val="ListParagraph"/>
        <w:numPr>
          <w:ilvl w:val="0"/>
          <w:numId w:val="2"/>
        </w:numPr>
        <w:spacing w:after="60" w:before="60"/>
      </w:pPr>
      <w:r>
        <w:rPr>
          <w:rFonts w:ascii="Arial" w:cs="Arial" w:eastAsia="Arial" w:hAnsi="Arial"/>
          <w:color w:val="2c3e50"/>
          <w:sz w:val="22"/>
          <w:szCs w:val="22"/>
        </w:rPr>
        <w:t xml:space="preserve">FUSE-ID: "The recruiting platform built for athletes, not agents."</w:t>
      </w:r>
    </w:p>
    <w:p>
      <w:pPr>
        <w:pStyle w:val="ListParagraph"/>
        <w:numPr>
          <w:ilvl w:val="0"/>
          <w:numId w:val="2"/>
        </w:numPr>
        <w:spacing w:after="60" w:before="60"/>
      </w:pPr>
      <w:r>
        <w:rPr>
          <w:rFonts w:ascii="Arial" w:cs="Arial" w:eastAsia="Arial" w:hAnsi="Arial"/>
          <w:color w:val="2c3e50"/>
          <w:sz w:val="22"/>
          <w:szCs w:val="22"/>
        </w:rPr>
        <w:t xml:space="preserve">Clubstack: "Run your club. Not your inbox."</w:t>
      </w:r>
    </w:p>
    <w:p>
      <w:pPr>
        <w:pStyle w:val="ListParagraph"/>
        <w:numPr>
          <w:ilvl w:val="0"/>
          <w:numId w:val="2"/>
        </w:numPr>
        <w:spacing w:after="60" w:before="60"/>
      </w:pPr>
      <w:r>
        <w:rPr>
          <w:rFonts w:ascii="Arial" w:cs="Arial" w:eastAsia="Arial" w:hAnsi="Arial"/>
          <w:color w:val="2c3e50"/>
          <w:sz w:val="22"/>
          <w:szCs w:val="22"/>
        </w:rPr>
        <w:t xml:space="preserve">Consulting CTA: "30 minutes · Free · No pitch"</w:t>
      </w:r>
    </w:p>
    <w:p>
      <w:pPr>
        <w:spacing w:after="120" w:before="120"/>
      </w:pPr>
      <w:r>
        <w:t xml:space="preserve"/>
      </w:r>
    </w:p>
    <w:p>
      <w:pPr>
        <w:pStyle w:val="Heading2"/>
        <w:spacing w:after="120" w:before="240"/>
      </w:pPr>
      <w:r>
        <w:rPr>
          <w:rFonts w:ascii="Georgia" w:cs="Georgia" w:eastAsia="Georgia" w:hAnsi="Georgia"/>
          <w:b w:val="false"/>
          <w:bCs w:val="false"/>
          <w:color w:val="1a2332"/>
          <w:sz w:val="28"/>
          <w:szCs w:val="28"/>
        </w:rPr>
        <w:t xml:space="preserve">Approved Messaging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b" w:sz="1"/>
              <w:left w:val="single" w:color="e5e7eb" w:sz="1"/>
              <w:bottom w:val="single" w:color="e5e7eb" w:sz="1"/>
              <w:right w:val="single" w:color="e5e7eb" w:sz="1"/>
            </w:tcBorders>
            <w:shd w:fill="1a2332" w:val="clear"/>
            <w:tcMar>
              <w:top w:type="dxa" w:w="100"/>
              <w:left w:type="dxa" w:w="140"/>
              <w:bottom w:type="dxa" w:w="100"/>
              <w:right w:type="dxa" w:w="100"/>
            </w:tcMar>
            <w:vAlign w:val="center"/>
          </w:tcPr>
          <w:p>
            <w:r>
              <w:rPr>
                <w:rFonts w:ascii="Arial" w:cs="Arial" w:eastAsia="Arial" w:hAnsi="Arial"/>
                <w:b/>
                <w:bCs/>
                <w:color w:val="FFFFFF"/>
                <w:sz w:val="18"/>
                <w:szCs w:val="18"/>
              </w:rPr>
              <w:t xml:space="preserve">ON BRAND</w:t>
            </w:r>
          </w:p>
        </w:tc>
        <w:tc>
          <w:tcPr>
            <w:tcW w:type="dxa" w:w="79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i/>
                <w:iCs/>
                <w:color w:val="2c3e50"/>
                <w:sz w:val="20"/>
                <w:szCs w:val="20"/>
              </w:rPr>
              <w:t xml:space="preserve">"We believe the youth sports landscape is strongest when clubs are supported, families are educated, and expectations are realistic."</w:t>
            </w:r>
          </w:p>
        </w:tc>
      </w:tr>
      <w:tr>
        <w:tc>
          <w:tcPr>
            <w:tcW w:type="dxa" w:w="1400"/>
            <w:tcBorders>
              <w:top w:val="single" w:color="e5e7eb" w:sz="1"/>
              <w:left w:val="single" w:color="e5e7eb" w:sz="1"/>
              <w:bottom w:val="single" w:color="e5e7eb" w:sz="1"/>
              <w:right w:val="single" w:color="e5e7eb" w:sz="1"/>
            </w:tcBorders>
            <w:shd w:fill="1a2332" w:val="clear"/>
            <w:tcMar>
              <w:top w:type="dxa" w:w="100"/>
              <w:left w:type="dxa" w:w="140"/>
              <w:bottom w:type="dxa" w:w="100"/>
              <w:right w:type="dxa" w:w="100"/>
            </w:tcMar>
            <w:vAlign w:val="center"/>
          </w:tcPr>
          <w:p>
            <w:r>
              <w:rPr>
                <w:rFonts w:ascii="Arial" w:cs="Arial" w:eastAsia="Arial" w:hAnsi="Arial"/>
                <w:b/>
                <w:bCs/>
                <w:color w:val="FFFFFF"/>
                <w:sz w:val="18"/>
                <w:szCs w:val="18"/>
              </w:rPr>
              <w:t xml:space="preserve">ON BRAND</w:t>
            </w:r>
          </w:p>
        </w:tc>
        <w:tc>
          <w:tcPr>
            <w:tcW w:type="dxa" w:w="79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i/>
                <w:iCs/>
                <w:color w:val="2c3e50"/>
                <w:sz w:val="20"/>
                <w:szCs w:val="20"/>
              </w:rPr>
              <w:t xml:space="preserve">"Built by a coach who has experienced the recruiting process from every angle — as a recruited player, a college coach, and a high school coach."</w:t>
            </w:r>
          </w:p>
        </w:tc>
      </w:tr>
      <w:tr>
        <w:tc>
          <w:tcPr>
            <w:tcW w:type="dxa" w:w="1400"/>
            <w:tcBorders>
              <w:top w:val="single" w:color="e5e7eb" w:sz="1"/>
              <w:left w:val="single" w:color="e5e7eb" w:sz="1"/>
              <w:bottom w:val="single" w:color="e5e7eb" w:sz="1"/>
              <w:right w:val="single" w:color="e5e7eb" w:sz="1"/>
            </w:tcBorders>
            <w:shd w:fill="1a2332" w:val="clear"/>
            <w:tcMar>
              <w:top w:type="dxa" w:w="100"/>
              <w:left w:type="dxa" w:w="140"/>
              <w:bottom w:type="dxa" w:w="100"/>
              <w:right w:type="dxa" w:w="100"/>
            </w:tcMar>
            <w:vAlign w:val="center"/>
          </w:tcPr>
          <w:p>
            <w:r>
              <w:rPr>
                <w:rFonts w:ascii="Arial" w:cs="Arial" w:eastAsia="Arial" w:hAnsi="Arial"/>
                <w:b/>
                <w:bCs/>
                <w:color w:val="FFFFFF"/>
                <w:sz w:val="18"/>
                <w:szCs w:val="18"/>
              </w:rPr>
              <w:t xml:space="preserve">ON BRAND</w:t>
            </w:r>
          </w:p>
        </w:tc>
        <w:tc>
          <w:tcPr>
            <w:tcW w:type="dxa" w:w="79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i/>
                <w:iCs/>
                <w:color w:val="2c3e50"/>
                <w:sz w:val="20"/>
                <w:szCs w:val="20"/>
              </w:rPr>
              <w:t xml:space="preserve">"AI match engine across 2,400+ programs — so you know where you fit before you reach out."</w:t>
            </w:r>
          </w:p>
        </w:tc>
      </w:tr>
      <w:tr>
        <w:tc>
          <w:tcPr>
            <w:tcW w:type="dxa" w:w="1400"/>
            <w:tcBorders>
              <w:top w:val="single" w:color="e5e7eb" w:sz="1"/>
              <w:left w:val="single" w:color="e5e7eb" w:sz="1"/>
              <w:bottom w:val="single" w:color="e5e7eb" w:sz="1"/>
              <w:right w:val="single" w:color="e5e7eb" w:sz="1"/>
            </w:tcBorders>
            <w:shd w:fill="dc2626" w:val="clear"/>
            <w:tcMar>
              <w:top w:type="dxa" w:w="100"/>
              <w:left w:type="dxa" w:w="140"/>
              <w:bottom w:type="dxa" w:w="100"/>
              <w:right w:type="dxa" w:w="100"/>
            </w:tcMar>
            <w:vAlign w:val="center"/>
          </w:tcPr>
          <w:p>
            <w:r>
              <w:rPr>
                <w:rFonts w:ascii="Arial" w:cs="Arial" w:eastAsia="Arial" w:hAnsi="Arial"/>
                <w:b/>
                <w:bCs/>
                <w:color w:val="FFFFFF"/>
                <w:sz w:val="18"/>
                <w:szCs w:val="18"/>
              </w:rPr>
              <w:t xml:space="preserve">OFF BRAND</w:t>
            </w:r>
          </w:p>
        </w:tc>
        <w:tc>
          <w:tcPr>
            <w:tcW w:type="dxa" w:w="79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i/>
                <w:iCs/>
                <w:color w:val="2c3e50"/>
                <w:sz w:val="20"/>
                <w:szCs w:val="20"/>
              </w:rPr>
              <w:t xml:space="preserve">"We guarantee results! Get your scholarship today with our proven system!"</w:t>
            </w:r>
          </w:p>
        </w:tc>
      </w:tr>
      <w:tr>
        <w:tc>
          <w:tcPr>
            <w:tcW w:type="dxa" w:w="1400"/>
            <w:tcBorders>
              <w:top w:val="single" w:color="e5e7eb" w:sz="1"/>
              <w:left w:val="single" w:color="e5e7eb" w:sz="1"/>
              <w:bottom w:val="single" w:color="e5e7eb" w:sz="1"/>
              <w:right w:val="single" w:color="e5e7eb" w:sz="1"/>
            </w:tcBorders>
            <w:shd w:fill="dc2626" w:val="clear"/>
            <w:tcMar>
              <w:top w:type="dxa" w:w="100"/>
              <w:left w:type="dxa" w:w="140"/>
              <w:bottom w:type="dxa" w:w="100"/>
              <w:right w:type="dxa" w:w="100"/>
            </w:tcMar>
            <w:vAlign w:val="center"/>
          </w:tcPr>
          <w:p>
            <w:r>
              <w:rPr>
                <w:rFonts w:ascii="Arial" w:cs="Arial" w:eastAsia="Arial" w:hAnsi="Arial"/>
                <w:b/>
                <w:bCs/>
                <w:color w:val="FFFFFF"/>
                <w:sz w:val="18"/>
                <w:szCs w:val="18"/>
              </w:rPr>
              <w:t xml:space="preserve">OFF BRAND</w:t>
            </w:r>
          </w:p>
        </w:tc>
        <w:tc>
          <w:tcPr>
            <w:tcW w:type="dxa" w:w="79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i/>
                <w:iCs/>
                <w:color w:val="2c3e50"/>
                <w:sz w:val="20"/>
                <w:szCs w:val="20"/>
              </w:rPr>
              <w:t xml:space="preserve">"Don't miss out — the recruiting window closes faster than you think. Act now!"</w:t>
            </w:r>
          </w:p>
        </w:tc>
      </w:tr>
      <w:tr>
        <w:tc>
          <w:tcPr>
            <w:tcW w:type="dxa" w:w="1400"/>
            <w:tcBorders>
              <w:top w:val="single" w:color="e5e7eb" w:sz="1"/>
              <w:left w:val="single" w:color="e5e7eb" w:sz="1"/>
              <w:bottom w:val="single" w:color="e5e7eb" w:sz="1"/>
              <w:right w:val="single" w:color="e5e7eb" w:sz="1"/>
            </w:tcBorders>
            <w:shd w:fill="dc2626" w:val="clear"/>
            <w:tcMar>
              <w:top w:type="dxa" w:w="100"/>
              <w:left w:type="dxa" w:w="140"/>
              <w:bottom w:type="dxa" w:w="100"/>
              <w:right w:type="dxa" w:w="100"/>
            </w:tcMar>
            <w:vAlign w:val="center"/>
          </w:tcPr>
          <w:p>
            <w:r>
              <w:rPr>
                <w:rFonts w:ascii="Arial" w:cs="Arial" w:eastAsia="Arial" w:hAnsi="Arial"/>
                <w:b/>
                <w:bCs/>
                <w:color w:val="FFFFFF"/>
                <w:sz w:val="18"/>
                <w:szCs w:val="18"/>
              </w:rPr>
              <w:t xml:space="preserve">OFF BRAND</w:t>
            </w:r>
          </w:p>
        </w:tc>
        <w:tc>
          <w:tcPr>
            <w:tcW w:type="dxa" w:w="7960"/>
            <w:tcBorders>
              <w:top w:val="single" w:color="e5e7eb" w:sz="1"/>
              <w:left w:val="single" w:color="e5e7eb" w:sz="1"/>
              <w:bottom w:val="single" w:color="e5e7eb" w:sz="1"/>
              <w:right w:val="single" w:color="e5e7eb" w:sz="1"/>
            </w:tcBorders>
            <w:tcMar>
              <w:top w:type="dxa" w:w="100"/>
              <w:left w:type="dxa" w:w="140"/>
              <w:bottom w:type="dxa" w:w="100"/>
              <w:right w:type="dxa" w:w="100"/>
            </w:tcMar>
          </w:tcPr>
          <w:p>
            <w:r>
              <w:rPr>
                <w:rFonts w:ascii="Arial" w:cs="Arial" w:eastAsia="Arial" w:hAnsi="Arial"/>
                <w:i/>
                <w:iCs/>
                <w:color w:val="2c3e50"/>
                <w:sz w:val="20"/>
                <w:szCs w:val="20"/>
              </w:rPr>
              <w:t xml:space="preserve">"Our proprietary methodology leverages synergistic coaching relationships to maximize athlete visibility."</w:t>
            </w:r>
          </w:p>
        </w:tc>
      </w:tr>
    </w:tbl>
    <w:p>
      <w:pPr>
        <w:spacing w:after="120" w:before="120"/>
      </w:pPr>
      <w:r>
        <w:t xml:space="preserve"/>
      </w:r>
    </w:p>
    <w:p>
      <w:r>
        <w:br w:type="page"/>
      </w:r>
    </w:p>
    <w:p>
      <w:pPr>
        <w:spacing w:after="80" w:before="480"/>
      </w:pPr>
      <w:r>
        <w:rPr>
          <w:rFonts w:ascii="Arial" w:cs="Arial" w:eastAsia="Arial" w:hAnsi="Arial"/>
          <w:b/>
          <w:bCs/>
          <w:color w:val="6b7280"/>
          <w:spacing w:val="120"/>
          <w:sz w:val="16"/>
          <w:szCs w:val="16"/>
        </w:rPr>
        <w:t xml:space="preserve">06 — VISUAL EXAMPLES</w:t>
      </w:r>
    </w:p>
    <w:p>
      <w:pPr>
        <w:pStyle w:val="Heading1"/>
        <w:spacing w:after="160" w:before="0"/>
      </w:pPr>
      <w:r>
        <w:rPr>
          <w:rFonts w:ascii="Georgia" w:cs="Georgia" w:eastAsia="Georgia" w:hAnsi="Georgia"/>
          <w:b w:val="false"/>
          <w:bCs w:val="false"/>
          <w:color w:val="1a2332"/>
          <w:sz w:val="40"/>
          <w:szCs w:val="40"/>
        </w:rPr>
        <w:t xml:space="preserve">Brand in Practice</w:t>
      </w:r>
    </w:p>
    <w:p>
      <w:pPr>
        <w:pBdr>
          <w:bottom w:val="single" w:color="1a2332" w:sz="12" w:space="1"/>
        </w:pBdr>
        <w:spacing w:after="240" w:before="40"/>
      </w:pPr>
      <w:r>
        <w:t xml:space="preserve"/>
      </w:r>
    </w:p>
    <w:p>
      <w:pPr>
        <w:spacing w:after="120" w:before="0"/>
      </w:pPr>
      <w:r>
        <w:rPr>
          <w:rFonts w:ascii="Arial" w:cs="Arial" w:eastAsia="Arial" w:hAnsi="Arial"/>
          <w:color w:val="2c3e50"/>
          <w:sz w:val="22"/>
          <w:szCs w:val="22"/>
        </w:rPr>
        <w:t xml:space="preserve">The following mockups demonstrate how the PSC brand system applies to common surfaces: email communications, social media posts, and document headers.</w:t>
      </w:r>
    </w:p>
    <w:p>
      <w:pPr>
        <w:spacing w:after="120" w:before="120"/>
      </w:pPr>
      <w:r>
        <w:t xml:space="preserve"/>
      </w:r>
    </w:p>
    <w:p>
      <w:pPr>
        <w:pStyle w:val="Heading2"/>
        <w:spacing w:after="120" w:before="240"/>
      </w:pPr>
      <w:r>
        <w:rPr>
          <w:rFonts w:ascii="Georgia" w:cs="Georgia" w:eastAsia="Georgia" w:hAnsi="Georgia"/>
          <w:b w:val="false"/>
          <w:bCs w:val="false"/>
          <w:color w:val="1a2332"/>
          <w:sz w:val="28"/>
          <w:szCs w:val="28"/>
        </w:rPr>
        <w:t xml:space="preserve">Email Template Structure</w:t>
      </w:r>
    </w:p>
    <w:p>
      <w:pPr>
        <w:spacing w:after="60" w:before="60"/>
      </w:pPr>
      <w:r>
        <w:rPr>
          <w:rFonts w:ascii="Arial" w:cs="Arial" w:eastAsia="Arial" w:hAnsi="Arial"/>
          <w:i/>
          <w:iCs/>
          <w:color w:val="6b7280"/>
          <w:sz w:val="18"/>
          <w:szCs w:val="18"/>
        </w:rPr>
        <w:t xml:space="preserve">Example: consultation follow-up or newsletter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2" w:val="clear"/>
            <w:tcMar>
              <w:top w:type="dxa" w:w="300"/>
              <w:left w:type="dxa" w:w="400"/>
              <w:bottom w:type="dxa" w:w="300"/>
              <w:right w:type="dxa" w:w="400"/>
            </w:tcMar>
          </w:tcPr>
          <w:p>
            <w:pPr>
              <w:jc w:val="center"/>
            </w:pPr>
            <w:r>
              <w:rPr>
                <w:rFonts w:ascii="Arial" w:cs="Arial" w:eastAsia="Arial" w:hAnsi="Arial"/>
                <w:b/>
                <w:bCs/>
                <w:color w:val="FFFFFF"/>
                <w:spacing w:val="80"/>
                <w:sz w:val="24"/>
                <w:szCs w:val="24"/>
              </w:rPr>
              <w:t xml:space="preserve">PROMOTED SPORTS CONSULTANTS</w:t>
            </w:r>
          </w:p>
          <w:p>
            <w:pPr>
              <w:jc w:val="center"/>
            </w:pPr>
            <w:r>
              <w:rPr>
                <w:rFonts w:ascii="Georgia" w:cs="Georgia" w:eastAsia="Georgia" w:hAnsi="Georgia"/>
                <w:i/>
                <w:iCs/>
                <w:color w:val="c8d1da"/>
                <w:sz w:val="20"/>
                <w:szCs w:val="20"/>
              </w:rPr>
              <w:t xml:space="preserve">Recruiting and club operations, redesigned for every sport.</w:t>
            </w:r>
          </w:p>
        </w:tc>
      </w:tr>
      <w:tr>
        <w:tc>
          <w:tcPr>
            <w:tcW w:type="dxa" w:w="9360"/>
            <w:tcBorders>
              <w:top w:val="none" w:color="FFFFFF" w:sz="0"/>
              <w:left w:val="none" w:color="FFFFFF" w:sz="0"/>
              <w:bottom w:val="none" w:color="FFFFFF" w:sz="0"/>
              <w:right w:val="none" w:color="FFFFFF" w:sz="0"/>
            </w:tcBorders>
            <w:shd w:fill="d4a574" w:val="clear"/>
            <w:tcMar>
              <w:top w:type="dxa" w:w="40"/>
              <w:left w:type="dxa" w:w="0"/>
              <w:bottom w:type="dxa" w:w="40"/>
              <w:right w:type="dxa" w:w="0"/>
            </w:tcMar>
          </w:tcPr>
          <w:p>
            <w:r>
              <w:t xml:space="preserve"/>
            </w:r>
          </w:p>
        </w:tc>
      </w:tr>
      <w:tr>
        <w:tc>
          <w:tcPr>
            <w:tcW w:type="dxa" w:w="9360"/>
            <w:tcBorders>
              <w:top w:val="none" w:color="FFFFFF" w:sz="0"/>
              <w:left w:val="none" w:color="FFFFFF" w:sz="0"/>
              <w:bottom w:val="none" w:color="FFFFFF" w:sz="0"/>
              <w:right w:val="none" w:color="FFFFFF" w:sz="0"/>
            </w:tcBorders>
            <w:shd w:fill="f8f9fa" w:val="clear"/>
            <w:tcMar>
              <w:top w:type="dxa" w:w="240"/>
              <w:left w:type="dxa" w:w="400"/>
              <w:bottom w:type="dxa" w:w="240"/>
              <w:right w:type="dxa" w:w="400"/>
            </w:tcMar>
          </w:tcPr>
          <w:p>
            <w:r>
              <w:rPr>
                <w:rFonts w:ascii="Georgia" w:cs="Georgia" w:eastAsia="Georgia" w:hAnsi="Georgia"/>
                <w:b w:val="false"/>
                <w:bCs w:val="false"/>
                <w:color w:val="1a2332"/>
                <w:sz w:val="28"/>
                <w:szCs w:val="28"/>
              </w:rPr>
              <w:t xml:space="preserve">Subject line here — clear, specific, no fluff</w:t>
            </w:r>
          </w:p>
          <w:p>
            <w:pPr>
              <w:spacing w:after="60" w:before="60"/>
            </w:pPr>
            <w:r>
              <w:t xml:space="preserve"/>
            </w:r>
          </w:p>
          <w:p>
            <w:r>
              <w:rPr>
                <w:rFonts w:ascii="Arial" w:cs="Arial" w:eastAsia="Arial" w:hAnsi="Arial"/>
                <w:color w:val="2c3e50"/>
                <w:sz w:val="20"/>
                <w:szCs w:val="20"/>
              </w:rPr>
              <w:t xml:space="preserve">Body copy in Work Sans. Direct and honest. No empty promises or recruiting jargon. The tone is knowledgeable and practical — like advice from a coach, not a sales pitch.</w:t>
            </w:r>
          </w:p>
          <w:p>
            <w:pPr>
              <w:spacing w:after="60" w:before="60"/>
            </w:pPr>
            <w:r>
              <w:t xml:space="preserve"/>
            </w:r>
          </w:p>
          <w:p>
            <w:r>
              <w:rPr>
                <w:rFonts w:ascii="Arial" w:cs="Arial" w:eastAsia="Arial" w:hAnsi="Arial"/>
                <w:b/>
                <w:bCs/>
                <w:color w:val="1a2332"/>
                <w:sz w:val="20"/>
                <w:szCs w:val="20"/>
                <w:u w:val="single" w:color="d4a574"/>
              </w:rPr>
              <w:t xml:space="preserve">CTA: Schedule a Consultation  →</w:t>
            </w:r>
          </w:p>
        </w:tc>
      </w:tr>
      <w:tr>
        <w:tc>
          <w:tcPr>
            <w:tcW w:type="dxa" w:w="9360"/>
            <w:tcBorders>
              <w:top w:val="none" w:color="FFFFFF" w:sz="0"/>
              <w:left w:val="none" w:color="FFFFFF" w:sz="0"/>
              <w:bottom w:val="none" w:color="FFFFFF" w:sz="0"/>
              <w:right w:val="none" w:color="FFFFFF" w:sz="0"/>
            </w:tcBorders>
            <w:shd w:fill="1a2332" w:val="clear"/>
            <w:tcMar>
              <w:top w:type="dxa" w:w="160"/>
              <w:left w:type="dxa" w:w="400"/>
              <w:bottom w:type="dxa" w:w="160"/>
              <w:right w:type="dxa" w:w="400"/>
            </w:tcMar>
          </w:tcPr>
          <w:p>
            <w:pPr>
              <w:jc w:val="center"/>
            </w:pPr>
            <w:r>
              <w:rPr>
                <w:rFonts w:ascii="Arial" w:cs="Arial" w:eastAsia="Arial" w:hAnsi="Arial"/>
                <w:color w:val="c8d1da"/>
                <w:sz w:val="18"/>
                <w:szCs w:val="18"/>
              </w:rPr>
              <w:t xml:space="preserve">promotedsoccerconsultants.com  ·  fuse-id.online  ·  clubstack.online</w:t>
            </w:r>
          </w:p>
        </w:tc>
      </w:tr>
    </w:tbl>
    <w:p>
      <w:pPr>
        <w:spacing w:after="60" w:before="60"/>
      </w:pPr>
      <w:r>
        <w:t xml:space="preserve"/>
      </w:r>
    </w:p>
    <w:p>
      <w:pPr>
        <w:spacing w:after="60" w:before="60"/>
      </w:pPr>
      <w:r>
        <w:rPr>
          <w:rFonts w:ascii="Arial" w:cs="Arial" w:eastAsia="Arial" w:hAnsi="Arial"/>
          <w:i/>
          <w:iCs/>
          <w:color w:val="6b7280"/>
          <w:sz w:val="18"/>
          <w:szCs w:val="18"/>
        </w:rPr>
        <w:t xml:space="preserve">Header: Dark navy background with white wordmark and silver italic tagline. Gold rule separates header from body. Footer returns to navy with silver link row. Body uses Light Gray background with Text Dark body copy.</w:t>
      </w:r>
    </w:p>
    <w:p>
      <w:pPr>
        <w:spacing w:after="120" w:before="120"/>
      </w:pPr>
      <w:r>
        <w:t xml:space="preserve"/>
      </w:r>
    </w:p>
    <w:p>
      <w:pPr>
        <w:pStyle w:val="Heading2"/>
        <w:spacing w:after="120" w:before="240"/>
      </w:pPr>
      <w:r>
        <w:rPr>
          <w:rFonts w:ascii="Georgia" w:cs="Georgia" w:eastAsia="Georgia" w:hAnsi="Georgia"/>
          <w:b w:val="false"/>
          <w:bCs w:val="false"/>
          <w:color w:val="1a2332"/>
          <w:sz w:val="28"/>
          <w:szCs w:val="28"/>
        </w:rPr>
        <w:t xml:space="preserve">Social Post — PSC Parent Brand</w:t>
      </w:r>
    </w:p>
    <w:p>
      <w:pPr>
        <w:spacing w:after="60" w:before="60"/>
      </w:pPr>
      <w:r>
        <w:rPr>
          <w:rFonts w:ascii="Arial" w:cs="Arial" w:eastAsia="Arial" w:hAnsi="Arial"/>
          <w:i/>
          <w:iCs/>
          <w:color w:val="6b7280"/>
          <w:sz w:val="18"/>
          <w:szCs w:val="18"/>
        </w:rPr>
        <w:t xml:space="preserve">Example: educational content, milestone announcements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2" w:val="clear"/>
            <w:tcMar>
              <w:top w:type="dxa" w:w="200"/>
              <w:left w:type="dxa" w:w="320"/>
              <w:bottom w:type="dxa" w:w="200"/>
              <w:right w:type="dxa" w:w="320"/>
            </w:tcMar>
          </w:tcPr>
          <w:p>
            <w:r>
              <w:rPr>
                <w:rFonts w:ascii="Arial" w:cs="Arial" w:eastAsia="Arial" w:hAnsi="Arial"/>
                <w:b/>
                <w:bCs/>
                <w:color w:val="c8d1da"/>
                <w:spacing w:val="120"/>
                <w:sz w:val="18"/>
                <w:szCs w:val="18"/>
              </w:rPr>
              <w:t xml:space="preserve">PSC</w:t>
            </w:r>
          </w:p>
          <w:p>
            <w:r>
              <w:rPr>
                <w:rFonts w:ascii="Georgia" w:cs="Georgia" w:eastAsia="Georgia" w:hAnsi="Georgia"/>
                <w:color w:val="FFFFFF"/>
                <w:sz w:val="36"/>
                <w:szCs w:val="36"/>
              </w:rPr>
              <w:t xml:space="preserve">The recruiting window is shorter than most families realize.</w:t>
            </w:r>
          </w:p>
          <w:p>
            <w:r>
              <w:rPr>
                <w:rFonts w:ascii="Arial" w:cs="Arial" w:eastAsia="Arial" w:hAnsi="Arial"/>
                <w:color w:val="c8d1da"/>
                <w:sz w:val="20"/>
                <w:szCs w:val="20"/>
              </w:rPr>
              <w:t xml:space="preserve">Here's what the timeline actually looks like — and when to start.</w:t>
            </w:r>
          </w:p>
        </w:tc>
      </w:tr>
      <w:tr>
        <w:tc>
          <w:tcPr>
            <w:tcW w:type="dxa" w:w="9360"/>
            <w:tcBorders>
              <w:top w:val="none" w:color="FFFFFF" w:sz="0"/>
              <w:left w:val="none" w:color="FFFFFF" w:sz="0"/>
              <w:bottom w:val="none" w:color="FFFFFF" w:sz="0"/>
              <w:right w:val="none" w:color="FFFFFF" w:sz="0"/>
            </w:tcBorders>
            <w:shd w:fill="c8d1da" w:val="clear"/>
            <w:tcMar>
              <w:top w:type="dxa" w:w="30"/>
              <w:left w:type="dxa" w:w="0"/>
              <w:bottom w:type="dxa" w:w="30"/>
              <w:right w:type="dxa" w:w="0"/>
            </w:tcMar>
          </w:tcPr>
          <w:p>
            <w:r>
              <w:t xml:space="preserve"/>
            </w:r>
          </w:p>
        </w:tc>
      </w:tr>
    </w:tbl>
    <w:p>
      <w:pPr>
        <w:spacing w:after="60" w:before="60"/>
      </w:pPr>
      <w:r>
        <w:t xml:space="preserve"/>
      </w:r>
    </w:p>
    <w:p>
      <w:pPr>
        <w:spacing w:after="60" w:before="60"/>
      </w:pPr>
      <w:r>
        <w:rPr>
          <w:rFonts w:ascii="Arial" w:cs="Arial" w:eastAsia="Arial" w:hAnsi="Arial"/>
          <w:i/>
          <w:iCs/>
          <w:color w:val="6b7280"/>
          <w:sz w:val="18"/>
          <w:szCs w:val="18"/>
        </w:rPr>
        <w:t xml:space="preserve">Dark navy card with white Georgia heading, silver body, and silver accent bar. Eyebrow "PSC" in silver with letter-spacing. This treatment is for parent brand content — not product-specific posts.</w:t>
      </w:r>
    </w:p>
    <w:p>
      <w:pPr>
        <w:spacing w:after="120" w:before="120"/>
      </w:pPr>
      <w:r>
        <w:t xml:space="preserve"/>
      </w:r>
    </w:p>
    <w:p>
      <w:pPr>
        <w:pStyle w:val="Heading2"/>
        <w:spacing w:after="120" w:before="240"/>
      </w:pPr>
      <w:r>
        <w:rPr>
          <w:rFonts w:ascii="Georgia" w:cs="Georgia" w:eastAsia="Georgia" w:hAnsi="Georgia"/>
          <w:b w:val="false"/>
          <w:bCs w:val="false"/>
          <w:color w:val="1a2332"/>
          <w:sz w:val="28"/>
          <w:szCs w:val="28"/>
        </w:rPr>
        <w:t xml:space="preserve">Social Post — FUSE-ID</w:t>
      </w:r>
    </w:p>
    <w:p>
      <w:pPr>
        <w:spacing w:after="60" w:before="60"/>
      </w:pPr>
      <w:r>
        <w:rPr>
          <w:rFonts w:ascii="Arial" w:cs="Arial" w:eastAsia="Arial" w:hAnsi="Arial"/>
          <w:i/>
          <w:iCs/>
          <w:color w:val="6b7280"/>
          <w:sz w:val="18"/>
          <w:szCs w:val="18"/>
        </w:rPr>
        <w:t xml:space="preserve">Example: product announcement, feature highlight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2" w:val="clear"/>
            <w:tcMar>
              <w:top w:type="dxa" w:w="200"/>
              <w:left w:type="dxa" w:w="320"/>
              <w:bottom w:type="dxa" w:w="200"/>
              <w:right w:type="dxa" w:w="320"/>
            </w:tcMar>
          </w:tcPr>
          <w:p>
            <w:r>
              <w:rPr>
                <w:rFonts w:ascii="Arial" w:cs="Arial" w:eastAsia="Arial" w:hAnsi="Arial"/>
                <w:b/>
                <w:bCs/>
                <w:color w:val="22c55e"/>
                <w:spacing w:val="120"/>
                <w:sz w:val="18"/>
                <w:szCs w:val="18"/>
              </w:rPr>
              <w:t xml:space="preserve">PSC</w:t>
            </w:r>
          </w:p>
          <w:p>
            <w:r>
              <w:rPr>
                <w:rFonts w:ascii="Georgia" w:cs="Georgia" w:eastAsia="Georgia" w:hAnsi="Georgia"/>
                <w:color w:val="FFFFFF"/>
                <w:sz w:val="36"/>
                <w:szCs w:val="36"/>
              </w:rPr>
              <w:t xml:space="preserve">8 dimensions. 2,400 programs. One match score.</w:t>
            </w:r>
          </w:p>
          <w:p>
            <w:r>
              <w:rPr>
                <w:rFonts w:ascii="Arial" w:cs="Arial" w:eastAsia="Arial" w:hAnsi="Arial"/>
                <w:color w:val="c8d1da"/>
                <w:sz w:val="20"/>
                <w:szCs w:val="20"/>
              </w:rPr>
              <w:t xml:space="preserve">See where you actually fit — before you reach out to a single coach.</w:t>
            </w:r>
          </w:p>
        </w:tc>
      </w:tr>
      <w:tr>
        <w:tc>
          <w:tcPr>
            <w:tcW w:type="dxa" w:w="9360"/>
            <w:tcBorders>
              <w:top w:val="none" w:color="FFFFFF" w:sz="0"/>
              <w:left w:val="none" w:color="FFFFFF" w:sz="0"/>
              <w:bottom w:val="none" w:color="FFFFFF" w:sz="0"/>
              <w:right w:val="none" w:color="FFFFFF" w:sz="0"/>
            </w:tcBorders>
            <w:shd w:fill="22c55e" w:val="clear"/>
            <w:tcMar>
              <w:top w:type="dxa" w:w="30"/>
              <w:left w:type="dxa" w:w="0"/>
              <w:bottom w:type="dxa" w:w="30"/>
              <w:right w:type="dxa" w:w="0"/>
            </w:tcMar>
          </w:tcPr>
          <w:p>
            <w:r>
              <w:t xml:space="preserve"/>
            </w:r>
          </w:p>
        </w:tc>
      </w:tr>
    </w:tbl>
    <w:p>
      <w:pPr>
        <w:spacing w:after="60" w:before="60"/>
      </w:pPr>
      <w:r>
        <w:t xml:space="preserve"/>
      </w:r>
    </w:p>
    <w:p>
      <w:pPr>
        <w:spacing w:after="60" w:before="60"/>
      </w:pPr>
      <w:r>
        <w:rPr>
          <w:rFonts w:ascii="Arial" w:cs="Arial" w:eastAsia="Arial" w:hAnsi="Arial"/>
          <w:i/>
          <w:iCs/>
          <w:color w:val="6b7280"/>
          <w:sz w:val="18"/>
          <w:szCs w:val="18"/>
        </w:rPr>
        <w:t xml:space="preserve">Same navy base, but lime green accent bar and FUSE-ID eyebrow in lime green. This product-specific treatment stays on FUSE-ID surfaces only.</w:t>
      </w:r>
    </w:p>
    <w:p>
      <w:pPr>
        <w:spacing w:after="120" w:before="120"/>
      </w:pPr>
      <w:r>
        <w:t xml:space="preserve"/>
      </w:r>
    </w:p>
    <w:p>
      <w:pPr>
        <w:pStyle w:val="Heading2"/>
        <w:spacing w:after="120" w:before="240"/>
      </w:pPr>
      <w:r>
        <w:rPr>
          <w:rFonts w:ascii="Georgia" w:cs="Georgia" w:eastAsia="Georgia" w:hAnsi="Georgia"/>
          <w:b w:val="false"/>
          <w:bCs w:val="false"/>
          <w:color w:val="1a2332"/>
          <w:sz w:val="28"/>
          <w:szCs w:val="28"/>
        </w:rPr>
        <w:t xml:space="preserve">Social Post — Clubstack</w:t>
      </w:r>
    </w:p>
    <w:p>
      <w:pPr>
        <w:spacing w:after="60" w:before="60"/>
      </w:pPr>
      <w:r>
        <w:rPr>
          <w:rFonts w:ascii="Arial" w:cs="Arial" w:eastAsia="Arial" w:hAnsi="Arial"/>
          <w:i/>
          <w:iCs/>
          <w:color w:val="6b7280"/>
          <w:sz w:val="18"/>
          <w:szCs w:val="18"/>
        </w:rPr>
        <w:t xml:space="preserve">Example: product feature, waitlist promotion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2" w:val="clear"/>
            <w:tcMar>
              <w:top w:type="dxa" w:w="200"/>
              <w:left w:type="dxa" w:w="320"/>
              <w:bottom w:type="dxa" w:w="200"/>
              <w:right w:type="dxa" w:w="320"/>
            </w:tcMar>
          </w:tcPr>
          <w:p>
            <w:r>
              <w:rPr>
                <w:rFonts w:ascii="Arial" w:cs="Arial" w:eastAsia="Arial" w:hAnsi="Arial"/>
                <w:b/>
                <w:bCs/>
                <w:color w:val="d4a574"/>
                <w:spacing w:val="120"/>
                <w:sz w:val="18"/>
                <w:szCs w:val="18"/>
              </w:rPr>
              <w:t xml:space="preserve">PSC</w:t>
            </w:r>
          </w:p>
          <w:p>
            <w:r>
              <w:rPr>
                <w:rFonts w:ascii="Georgia" w:cs="Georgia" w:eastAsia="Georgia" w:hAnsi="Georgia"/>
                <w:color w:val="FFFFFF"/>
                <w:sz w:val="36"/>
                <w:szCs w:val="36"/>
              </w:rPr>
              <w:t xml:space="preserve">Run your club. Not your inbox.</w:t>
            </w:r>
          </w:p>
          <w:p>
            <w:r>
              <w:rPr>
                <w:rFonts w:ascii="Arial" w:cs="Arial" w:eastAsia="Arial" w:hAnsi="Arial"/>
                <w:color w:val="c8d1da"/>
                <w:sz w:val="20"/>
                <w:szCs w:val="20"/>
              </w:rPr>
              <w:t xml:space="preserve">Registration, payments, scheduling, and comms — with the only recruiting integration on the market.</w:t>
            </w:r>
          </w:p>
        </w:tc>
      </w:tr>
      <w:tr>
        <w:tc>
          <w:tcPr>
            <w:tcW w:type="dxa" w:w="9360"/>
            <w:tcBorders>
              <w:top w:val="none" w:color="FFFFFF" w:sz="0"/>
              <w:left w:val="none" w:color="FFFFFF" w:sz="0"/>
              <w:bottom w:val="none" w:color="FFFFFF" w:sz="0"/>
              <w:right w:val="none" w:color="FFFFFF" w:sz="0"/>
            </w:tcBorders>
            <w:shd w:fill="d4a574" w:val="clear"/>
            <w:tcMar>
              <w:top w:type="dxa" w:w="30"/>
              <w:left w:type="dxa" w:w="0"/>
              <w:bottom w:type="dxa" w:w="30"/>
              <w:right w:type="dxa" w:w="0"/>
            </w:tcMar>
          </w:tcPr>
          <w:p>
            <w:r>
              <w:t xml:space="preserve"/>
            </w:r>
          </w:p>
        </w:tc>
      </w:tr>
    </w:tbl>
    <w:p>
      <w:pPr>
        <w:spacing w:after="60" w:before="60"/>
      </w:pPr>
      <w:r>
        <w:t xml:space="preserve"/>
      </w:r>
    </w:p>
    <w:p>
      <w:pPr>
        <w:spacing w:after="60" w:before="60"/>
      </w:pPr>
      <w:r>
        <w:rPr>
          <w:rFonts w:ascii="Arial" w:cs="Arial" w:eastAsia="Arial" w:hAnsi="Arial"/>
          <w:i/>
          <w:iCs/>
          <w:color w:val="6b7280"/>
          <w:sz w:val="18"/>
          <w:szCs w:val="18"/>
        </w:rPr>
        <w:t xml:space="preserve">Navy base with gold accent bar and Clubstack name in Georgia gold. Matches the gold-on-navy Clubstack brand identity.</w:t>
      </w:r>
    </w:p>
    <w:p>
      <w:pPr>
        <w:spacing w:after="120" w:before="120"/>
      </w:pPr>
      <w:r>
        <w:t xml:space="preserve"/>
      </w:r>
    </w:p>
    <w:p>
      <w:pPr>
        <w:pStyle w:val="Heading2"/>
        <w:spacing w:after="120" w:before="240"/>
      </w:pPr>
      <w:r>
        <w:rPr>
          <w:rFonts w:ascii="Georgia" w:cs="Georgia" w:eastAsia="Georgia" w:hAnsi="Georgia"/>
          <w:b w:val="false"/>
          <w:bCs w:val="false"/>
          <w:color w:val="1a2332"/>
          <w:sz w:val="28"/>
          <w:szCs w:val="28"/>
        </w:rPr>
        <w:t xml:space="preserve">Document &amp; Slide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2" w:val="clear"/>
            <w:tcMar>
              <w:top w:type="dxa" w:w="200"/>
              <w:left w:type="dxa" w:w="320"/>
              <w:bottom w:type="dxa" w:w="200"/>
              <w:right w:type="dxa" w:w="320"/>
            </w:tcMar>
          </w:tcPr>
          <w:p>
            <w:r>
              <w:rPr>
                <w:rFonts w:ascii="Arial" w:cs="Arial" w:eastAsia="Arial" w:hAnsi="Arial"/>
                <w:b/>
                <w:bCs/>
                <w:color w:val="c8d1da"/>
                <w:spacing w:val="120"/>
                <w:sz w:val="18"/>
                <w:szCs w:val="18"/>
              </w:rPr>
              <w:t xml:space="preserve">PSC</w:t>
            </w:r>
            <w:r>
              <w:rPr>
                <w:rFonts w:ascii="Arial" w:cs="Arial" w:eastAsia="Arial" w:hAnsi="Arial"/>
                <w:color w:val="c8d1da"/>
                <w:sz w:val="18"/>
                <w:szCs w:val="18"/>
              </w:rPr>
              <w:t xml:space="preserve">    ·    Recruiting Services</w:t>
            </w:r>
          </w:p>
          <w:p>
            <w:r>
              <w:rPr>
                <w:rFonts w:ascii="Georgia" w:cs="Georgia" w:eastAsia="Georgia" w:hAnsi="Georgia"/>
                <w:color w:val="FFFFFF"/>
                <w:sz w:val="40"/>
                <w:szCs w:val="40"/>
              </w:rPr>
              <w:t xml:space="preserve">Athlete Recruiting Plan</w:t>
            </w:r>
          </w:p>
          <w:p>
            <w:r>
              <w:rPr>
                <w:rFonts w:ascii="Arial" w:cs="Arial" w:eastAsia="Arial" w:hAnsi="Arial"/>
                <w:color w:val="c8d1da"/>
                <w:sz w:val="20"/>
                <w:szCs w:val="20"/>
              </w:rPr>
              <w:t xml:space="preserve">Prepared for: Athlete Name  ·  Class of 2027</w:t>
            </w:r>
          </w:p>
        </w:tc>
      </w:tr>
      <w:tr>
        <w:tc>
          <w:tcPr>
            <w:tcW w:type="dxa" w:w="9360"/>
            <w:tcBorders>
              <w:top w:val="none" w:color="FFFFFF" w:sz="0"/>
              <w:left w:val="none" w:color="FFFFFF" w:sz="0"/>
              <w:bottom w:val="none" w:color="FFFFFF" w:sz="0"/>
              <w:right w:val="none" w:color="FFFFFF" w:sz="0"/>
            </w:tcBorders>
            <w:shd w:fill="d4a574" w:val="clear"/>
            <w:tcMar>
              <w:top w:type="dxa" w:w="30"/>
              <w:left w:type="dxa" w:w="0"/>
              <w:bottom w:type="dxa" w:w="30"/>
              <w:right w:type="dxa" w:w="0"/>
            </w:tcMar>
          </w:tcPr>
          <w:p>
            <w:r>
              <w:t xml:space="preserve"/>
            </w:r>
          </w:p>
        </w:tc>
      </w:tr>
    </w:tbl>
    <w:p>
      <w:pPr>
        <w:spacing w:after="60" w:before="60"/>
      </w:pPr>
      <w:r>
        <w:t xml:space="preserve"/>
      </w:r>
    </w:p>
    <w:p>
      <w:pPr>
        <w:spacing w:after="60" w:before="60"/>
      </w:pPr>
      <w:r>
        <w:rPr>
          <w:rFonts w:ascii="Arial" w:cs="Arial" w:eastAsia="Arial" w:hAnsi="Arial"/>
          <w:i/>
          <w:iCs/>
          <w:color w:val="6b7280"/>
          <w:sz w:val="18"/>
          <w:szCs w:val="18"/>
        </w:rPr>
        <w:t xml:space="preserve">Document headers use: Dark navy background · White Georgia title · Silver metadata line · Gold rule separator. This pattern applies to proposals, athlete plans, club consulting decks, and any PSC-produced document.</w:t>
      </w:r>
    </w:p>
    <w:p>
      <w:pPr>
        <w:spacing w:after="180" w:before="180"/>
      </w:pPr>
      <w:r>
        <w:t xml:space="preserve"/>
      </w:r>
    </w:p>
    <w:p>
      <w:pPr>
        <w:spacing w:after="80" w:before="480"/>
      </w:pPr>
      <w:r>
        <w:rPr>
          <w:rFonts w:ascii="Arial" w:cs="Arial" w:eastAsia="Arial" w:hAnsi="Arial"/>
          <w:b/>
          <w:bCs/>
          <w:color w:val="6b7280"/>
          <w:spacing w:val="120"/>
          <w:sz w:val="16"/>
          <w:szCs w:val="16"/>
        </w:rPr>
        <w:t xml:space="preserve">QUICK REFERENCE</w:t>
      </w:r>
    </w:p>
    <w:p>
      <w:pPr>
        <w:pStyle w:val="Heading1"/>
        <w:spacing w:after="160" w:before="0"/>
      </w:pPr>
      <w:r>
        <w:rPr>
          <w:rFonts w:ascii="Georgia" w:cs="Georgia" w:eastAsia="Georgia" w:hAnsi="Georgia"/>
          <w:b w:val="false"/>
          <w:bCs w:val="false"/>
          <w:color w:val="1a2332"/>
          <w:sz w:val="40"/>
          <w:szCs w:val="40"/>
        </w:rPr>
        <w:t xml:space="preserve">At a Glance</w:t>
      </w:r>
    </w:p>
    <w:p>
      <w:pPr>
        <w:pBdr>
          <w:bottom w:val="single" w:color="1a2332" w:sz="12" w:space="1"/>
        </w:pBdr>
        <w:spacing w:after="2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1a2332" w:val="clear"/>
            <w:tcMar>
              <w:top w:type="dxa" w:w="80"/>
              <w:left w:type="dxa" w:w="140"/>
              <w:bottom w:type="dxa" w:w="80"/>
              <w:right w:type="dxa" w:w="100"/>
            </w:tcMar>
          </w:tcPr>
          <w:p>
            <w:r>
              <w:rPr>
                <w:rFonts w:ascii="Arial" w:cs="Arial" w:eastAsia="Arial" w:hAnsi="Arial"/>
                <w:b/>
                <w:bCs/>
                <w:color w:val="FFFFFF"/>
                <w:sz w:val="18"/>
                <w:szCs w:val="18"/>
              </w:rPr>
              <w:t xml:space="preserve">Category</w:t>
            </w:r>
          </w:p>
        </w:tc>
        <w:tc>
          <w:tcPr>
            <w:tcW w:type="dxa" w:w="6960"/>
            <w:tcBorders>
              <w:top w:val="single" w:color="e5e7eb" w:sz="1"/>
              <w:left w:val="single" w:color="e5e7eb" w:sz="1"/>
              <w:bottom w:val="single" w:color="e5e7eb" w:sz="1"/>
              <w:right w:val="single" w:color="e5e7eb" w:sz="1"/>
            </w:tcBorders>
            <w:shd w:fill="1a2332" w:val="clear"/>
            <w:tcMar>
              <w:top w:type="dxa" w:w="80"/>
              <w:left w:type="dxa" w:w="140"/>
              <w:bottom w:type="dxa" w:w="80"/>
              <w:right w:type="dxa" w:w="100"/>
            </w:tcMar>
          </w:tcPr>
          <w:p>
            <w:r>
              <w:rPr>
                <w:rFonts w:ascii="Arial" w:cs="Arial" w:eastAsia="Arial" w:hAnsi="Arial"/>
                <w:b/>
                <w:bCs/>
                <w:color w:val="FFFFFF"/>
                <w:sz w:val="18"/>
                <w:szCs w:val="18"/>
              </w:rPr>
              <w:t xml:space="preserve">Value</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a2332"/>
                <w:sz w:val="20"/>
                <w:szCs w:val="20"/>
              </w:rPr>
              <w:t xml:space="preserve">Primary color</w:t>
            </w:r>
          </w:p>
        </w:tc>
        <w:tc>
          <w:tcPr>
            <w:tcW w:type="dxa" w:w="69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2c3e50"/>
                <w:sz w:val="20"/>
                <w:szCs w:val="20"/>
              </w:rPr>
              <w:t xml:space="preserve">Dark Navy #1A2332</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40"/>
              <w:bottom w:type="dxa" w:w="80"/>
              <w:right w:type="dxa" w:w="100"/>
            </w:tcMar>
          </w:tcPr>
          <w:p>
            <w:r>
              <w:rPr>
                <w:rFonts w:ascii="Arial" w:cs="Arial" w:eastAsia="Arial" w:hAnsi="Arial"/>
                <w:b/>
                <w:bCs/>
                <w:color w:val="1a2332"/>
                <w:sz w:val="20"/>
                <w:szCs w:val="20"/>
              </w:rPr>
              <w:t xml:space="preserve">Accent colors</w:t>
            </w:r>
          </w:p>
        </w:tc>
        <w:tc>
          <w:tcPr>
            <w:tcW w:type="dxa" w:w="6960"/>
            <w:tcBorders>
              <w:top w:val="single" w:color="e5e7eb" w:sz="1"/>
              <w:left w:val="single" w:color="e5e7eb" w:sz="1"/>
              <w:bottom w:val="single" w:color="e5e7eb" w:sz="1"/>
              <w:right w:val="single" w:color="e5e7eb" w:sz="1"/>
            </w:tcBorders>
            <w:shd w:fill="f8f9fa" w:val="clear"/>
            <w:tcMar>
              <w:top w:type="dxa" w:w="80"/>
              <w:left w:type="dxa" w:w="140"/>
              <w:bottom w:type="dxa" w:w="80"/>
              <w:right w:type="dxa" w:w="100"/>
            </w:tcMar>
          </w:tcPr>
          <w:p>
            <w:r>
              <w:rPr>
                <w:rFonts w:ascii="Arial" w:cs="Arial" w:eastAsia="Arial" w:hAnsi="Arial"/>
                <w:color w:val="2c3e50"/>
                <w:sz w:val="20"/>
                <w:szCs w:val="20"/>
              </w:rPr>
              <w:t xml:space="preserve">Silver #C8D1DA (PSC) · Gold #D4A574 (Clubstack) · Lime #22C55E (FUSE-ID)</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a2332"/>
                <w:sz w:val="20"/>
                <w:szCs w:val="20"/>
              </w:rPr>
              <w:t xml:space="preserve">Display typeface</w:t>
            </w:r>
          </w:p>
        </w:tc>
        <w:tc>
          <w:tcPr>
            <w:tcW w:type="dxa" w:w="69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2c3e50"/>
                <w:sz w:val="20"/>
                <w:szCs w:val="20"/>
              </w:rPr>
              <w:t xml:space="preserve">Crimson Pro (Light 300, Regular 400, SemiBold 600)</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40"/>
              <w:bottom w:type="dxa" w:w="80"/>
              <w:right w:type="dxa" w:w="100"/>
            </w:tcMar>
          </w:tcPr>
          <w:p>
            <w:r>
              <w:rPr>
                <w:rFonts w:ascii="Arial" w:cs="Arial" w:eastAsia="Arial" w:hAnsi="Arial"/>
                <w:b/>
                <w:bCs/>
                <w:color w:val="1a2332"/>
                <w:sz w:val="20"/>
                <w:szCs w:val="20"/>
              </w:rPr>
              <w:t xml:space="preserve">Body typeface</w:t>
            </w:r>
          </w:p>
        </w:tc>
        <w:tc>
          <w:tcPr>
            <w:tcW w:type="dxa" w:w="6960"/>
            <w:tcBorders>
              <w:top w:val="single" w:color="e5e7eb" w:sz="1"/>
              <w:left w:val="single" w:color="e5e7eb" w:sz="1"/>
              <w:bottom w:val="single" w:color="e5e7eb" w:sz="1"/>
              <w:right w:val="single" w:color="e5e7eb" w:sz="1"/>
            </w:tcBorders>
            <w:shd w:fill="f8f9fa" w:val="clear"/>
            <w:tcMar>
              <w:top w:type="dxa" w:w="80"/>
              <w:left w:type="dxa" w:w="140"/>
              <w:bottom w:type="dxa" w:w="80"/>
              <w:right w:type="dxa" w:w="100"/>
            </w:tcMar>
          </w:tcPr>
          <w:p>
            <w:r>
              <w:rPr>
                <w:rFonts w:ascii="Arial" w:cs="Arial" w:eastAsia="Arial" w:hAnsi="Arial"/>
                <w:color w:val="2c3e50"/>
                <w:sz w:val="20"/>
                <w:szCs w:val="20"/>
              </w:rPr>
              <w:t xml:space="preserve">Work Sans (Regular 400, Medium 500, SemiBold 600, Bold 700)</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a2332"/>
                <w:sz w:val="20"/>
                <w:szCs w:val="20"/>
              </w:rPr>
              <w:t xml:space="preserve">Parent tagline</w:t>
            </w:r>
          </w:p>
        </w:tc>
        <w:tc>
          <w:tcPr>
            <w:tcW w:type="dxa" w:w="69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i/>
                <w:iCs/>
                <w:color w:val="2c3e50"/>
                <w:sz w:val="20"/>
                <w:szCs w:val="20"/>
              </w:rPr>
              <w:t xml:space="preserve">Recruiting and club operations, redesigned for every sport.</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40"/>
              <w:bottom w:type="dxa" w:w="80"/>
              <w:right w:type="dxa" w:w="100"/>
            </w:tcMar>
          </w:tcPr>
          <w:p>
            <w:r>
              <w:rPr>
                <w:rFonts w:ascii="Arial" w:cs="Arial" w:eastAsia="Arial" w:hAnsi="Arial"/>
                <w:b/>
                <w:bCs/>
                <w:color w:val="1a2332"/>
                <w:sz w:val="20"/>
                <w:szCs w:val="20"/>
              </w:rPr>
              <w:t xml:space="preserve">Voice</w:t>
            </w:r>
          </w:p>
        </w:tc>
        <w:tc>
          <w:tcPr>
            <w:tcW w:type="dxa" w:w="6960"/>
            <w:tcBorders>
              <w:top w:val="single" w:color="e5e7eb" w:sz="1"/>
              <w:left w:val="single" w:color="e5e7eb" w:sz="1"/>
              <w:bottom w:val="single" w:color="e5e7eb" w:sz="1"/>
              <w:right w:val="single" w:color="e5e7eb" w:sz="1"/>
            </w:tcBorders>
            <w:shd w:fill="f8f9fa" w:val="clear"/>
            <w:tcMar>
              <w:top w:type="dxa" w:w="80"/>
              <w:left w:type="dxa" w:w="140"/>
              <w:bottom w:type="dxa" w:w="80"/>
              <w:right w:type="dxa" w:w="100"/>
            </w:tcMar>
          </w:tcPr>
          <w:p>
            <w:r>
              <w:rPr>
                <w:rFonts w:ascii="Arial" w:cs="Arial" w:eastAsia="Arial" w:hAnsi="Arial"/>
                <w:color w:val="2c3e50"/>
                <w:sz w:val="20"/>
                <w:szCs w:val="20"/>
              </w:rPr>
              <w:t xml:space="preserve">Honest · Direct · Experience-grounded · No hype · Sport-agnostic</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a2332"/>
                <w:sz w:val="20"/>
                <w:szCs w:val="20"/>
              </w:rPr>
              <w:t xml:space="preserve">Focus ring</w:t>
            </w:r>
          </w:p>
        </w:tc>
        <w:tc>
          <w:tcPr>
            <w:tcW w:type="dxa" w:w="69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2c3e50"/>
                <w:sz w:val="20"/>
                <w:szCs w:val="20"/>
              </w:rPr>
              <w:t xml:space="preserve">Accent Gold #D4A574 on all interactive elements (accessibility)</w:t>
            </w:r>
          </w:p>
        </w:tc>
      </w:tr>
    </w:tbl>
    <w:p>
      <w:pPr>
        <w:spacing w:after="180" w:before="180"/>
      </w:pPr>
      <w:r>
        <w:t xml:space="preserve"/>
      </w:r>
    </w:p>
    <w:p>
      <w:pPr>
        <w:jc w:val="center"/>
      </w:pPr>
      <w:r>
        <w:rPr>
          <w:rFonts w:ascii="Arial" w:cs="Arial" w:eastAsia="Arial" w:hAnsi="Arial"/>
          <w:i/>
          <w:iCs/>
          <w:color w:val="6b7280"/>
          <w:sz w:val="20"/>
          <w:szCs w:val="20"/>
        </w:rPr>
        <w:t xml:space="preserve">Questions about brand usage? Contact bryan.fossi@promotedsoccerconsultants.com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360"/>
      </w:tabs>
    </w:pPr>
    <w:r>
      <w:rPr>
        <w:rFonts w:ascii="Arial" w:cs="Arial" w:eastAsia="Arial" w:hAnsi="Arial"/>
        <w:color w:val="6b7280"/>
        <w:sz w:val="16"/>
        <w:szCs w:val="16"/>
      </w:rPr>
      <w:t xml:space="preserve">Promoted Sports Consultants  ·  Confidential</w:t>
    </w:r>
    <w:r>
      <w:rPr>
        <w:rFonts w:ascii="Arial" w:cs="Arial" w:eastAsia="Arial" w:hAnsi="Arial"/>
        <w:sz w:val="16"/>
        <w:szCs w:val="16"/>
      </w:rP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tabs>
        <w:tab w:val="right" w:pos="9360"/>
      </w:tabs>
    </w:pPr>
    <w:r>
      <w:rPr>
        <w:rFonts w:ascii="Arial" w:cs="Arial" w:eastAsia="Arial" w:hAnsi="Arial"/>
        <w:color w:val="6b7280"/>
        <w:sz w:val="18"/>
        <w:szCs w:val="18"/>
      </w:rPr>
      <w:t xml:space="preserve">PSC Brand Kit</w:t>
    </w:r>
    <w:r>
      <w:rPr>
        <w:rFonts w:ascii="Arial" w:cs="Arial" w:eastAsia="Arial" w:hAnsi="Arial"/>
        <w:sz w:val="18"/>
        <w:szCs w:val="18"/>
      </w:rPr>
      <w:t xml:space="preserve">	</w:t>
    </w:r>
    <w:r>
      <w:rPr>
        <w:rFonts w:ascii="Arial" w:cs="Arial" w:eastAsia="Arial" w:hAnsi="Arial"/>
        <w:color w:val="6b7280"/>
        <w:sz w:val="18"/>
        <w:szCs w:val="18"/>
      </w:rPr>
      <w:t xml:space="preserve">promotedsoccerconsultants.com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Georgia" w:cs="Georgia" w:eastAsia="Georgia" w:hAnsi="Georgia"/>
      <w:b w:val="false"/>
      <w:bCs w:val="false"/>
      <w:color w:val="1a2332"/>
      <w:sz w:val="40"/>
      <w:szCs w:val="40"/>
    </w:rPr>
  </w:style>
  <w:style w:type="paragraph" w:styleId="Heading2">
    <w:name w:val="Heading 2"/>
    <w:basedOn w:val="Normal"/>
    <w:next w:val="Normal"/>
    <w:qFormat/>
    <w:pPr>
      <w:spacing w:after="120" w:before="240"/>
      <w:outlineLvl w:val="1"/>
    </w:pPr>
    <w:rPr>
      <w:rFonts w:ascii="Georgia" w:cs="Georgia" w:eastAsia="Georgia" w:hAnsi="Georgia"/>
      <w:b w:val="false"/>
      <w:bCs w:val="false"/>
      <w:color w:val="1a23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2026-05-25T13:26:18.088Z</dcterms:created>
  <dcterms:modified xsi:type="dcterms:W3CDTF">2026-05-25T13:26:18.088Z</dcterms:modified>
</cp:coreProperties>
</file>

<file path=docProps/custom.xml><?xml version="1.0" encoding="utf-8"?>
<Properties xmlns="http://schemas.openxmlformats.org/officeDocument/2006/custom-properties" xmlns:vt="http://schemas.openxmlformats.org/officeDocument/2006/docPropsVTypes"/>
</file>