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311C" w14:textId="77777777" w:rsidR="002B225D" w:rsidRPr="002B225D" w:rsidRDefault="002B225D" w:rsidP="002B225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2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From ‘Goodfellas’ to ‘Flower Moon’: How Scorsese Has Rethought Violence</w:t>
      </w:r>
    </w:p>
    <w:p w14:paraId="453FFE40" w14:textId="77777777" w:rsidR="002B225D" w:rsidRPr="002B225D" w:rsidRDefault="002B225D" w:rsidP="002B22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25D">
        <w:rPr>
          <w:rFonts w:ascii="Times New Roman" w:eastAsia="Times New Roman" w:hAnsi="Times New Roman" w:cs="Times New Roman"/>
        </w:rPr>
        <w:t>The director was long identified with ornately edited set pieces. In “The Irishman” and his latest film, the flourishes have given way to blunt truths.</w:t>
      </w:r>
    </w:p>
    <w:p w14:paraId="08C09514" w14:textId="5CB1763F" w:rsidR="007317AB" w:rsidRDefault="002B225D">
      <w:r w:rsidRPr="002B225D">
        <w:drawing>
          <wp:inline distT="0" distB="0" distL="0" distR="0" wp14:anchorId="4A1217C9" wp14:editId="0B9B379F">
            <wp:extent cx="5943600" cy="2359660"/>
            <wp:effectExtent l="0" t="0" r="0" b="2540"/>
            <wp:docPr id="1" name="Picture 1" descr="A group of people arou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around a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4487" w14:textId="1ADBA944" w:rsidR="002B225D" w:rsidRDefault="002B225D"/>
    <w:p w14:paraId="77F94E59" w14:textId="323F9276" w:rsidR="002B225D" w:rsidRDefault="002B225D"/>
    <w:p w14:paraId="34292C21" w14:textId="5EEE4A22" w:rsidR="002B225D" w:rsidRDefault="002B225D" w:rsidP="002B225D">
      <w:pPr>
        <w:pStyle w:val="css-at9mc1"/>
      </w:pPr>
      <w:r>
        <w:t>Of all the haunting images and disturbing sounds that permeate Martin Scorsese’s “</w:t>
      </w:r>
      <w:hyperlink r:id="rId5" w:history="1">
        <w:r>
          <w:rPr>
            <w:rStyle w:val="Hyperlink"/>
          </w:rPr>
          <w:t>Killers of the Flower Moon</w:t>
        </w:r>
      </w:hyperlink>
      <w:r>
        <w:t xml:space="preserve">,” none is more upsetting than the guttural cry from Mollie Burkhart (Lily Gladstone), a tortured wail of rage and grief that escapes her reserved visage when tragedy strikes. And it often does: “Killers” tells the </w:t>
      </w:r>
      <w:r w:rsidRPr="002B225D">
        <w:t>true story</w:t>
      </w:r>
      <w:r>
        <w:t xml:space="preserve">, adapted from the book by David </w:t>
      </w:r>
      <w:proofErr w:type="spellStart"/>
      <w:r>
        <w:t>Grann</w:t>
      </w:r>
      <w:proofErr w:type="spellEnd"/>
      <w:r>
        <w:t>, of how Mollie’s Osage community was decimated by murderous white men, who killed dozens of her tribe members for rights to their oil-rich land.</w:t>
      </w:r>
    </w:p>
    <w:p w14:paraId="2A8EBFBD" w14:textId="49F0E2ED" w:rsidR="002B225D" w:rsidRDefault="002B225D" w:rsidP="002B225D">
      <w:pPr>
        <w:pStyle w:val="css-at9mc1"/>
      </w:pPr>
      <w:r>
        <w:t>Mollie’s howl of pain is not quite like any sound heard before in a Scorsese film. But in many ways, Scorsese is emulating her jarring cry in the ominous aesthetics of “Killers of the Flower Moon” itself, and of his 2019 feature, “</w:t>
      </w:r>
      <w:r w:rsidRPr="002B225D">
        <w:t>The Irishman</w:t>
      </w:r>
      <w:r>
        <w:t>.”</w:t>
      </w:r>
    </w:p>
    <w:p w14:paraId="4BE28285" w14:textId="77777777" w:rsidR="002B225D" w:rsidRDefault="002B225D"/>
    <w:sectPr w:rsidR="002B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D"/>
    <w:rsid w:val="002B225D"/>
    <w:rsid w:val="00CD35B0"/>
    <w:rsid w:val="00E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4C730"/>
  <w15:chartTrackingRefBased/>
  <w15:docId w15:val="{CFE2B9C9-520B-ED42-BD7E-6DAB65A7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2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ss-1n0orw4">
    <w:name w:val="css-1n0orw4"/>
    <w:basedOn w:val="Normal"/>
    <w:rsid w:val="002B22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ss-at9mc1">
    <w:name w:val="css-at9mc1"/>
    <w:basedOn w:val="Normal"/>
    <w:rsid w:val="002B22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B2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2023/10/19/movies/killers-of-the-flower-moon-review-martin-scorse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Rudinsky, Joyce J</dc:creator>
  <cp:keywords/>
  <dc:description/>
  <cp:lastModifiedBy>Rudinsky, Joyce J</cp:lastModifiedBy>
  <cp:revision>1</cp:revision>
  <dcterms:created xsi:type="dcterms:W3CDTF">2023-10-22T18:02:00Z</dcterms:created>
  <dcterms:modified xsi:type="dcterms:W3CDTF">2023-10-22T18:05:00Z</dcterms:modified>
</cp:coreProperties>
</file>