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iPoint Admin PRD V1.0</w:t>
      </w:r>
    </w:p>
    <w:p>
      <w:pPr>
        <w:pStyle w:val="Subtitle"/>
        <w:jc w:val="center"/>
      </w:pPr>
      <w:r>
        <w:t>Full Official Edition · 平台管理后台完整逻辑与技术框架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0F766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rPr>
                <w:b/>
                <w:color w:val="FFFFFF"/>
              </w:rPr>
              <w:t>产品</w:t>
            </w:r>
          </w:p>
        </w:tc>
        <w:tc>
          <w:tcPr>
            <w:tcW w:type="dxa" w:w="498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t>iPoint Admin Console</w:t>
            </w:r>
          </w:p>
        </w:tc>
      </w:tr>
      <w:tr>
        <w:trPr>
          <w:cantSplit/>
        </w:trPr>
        <w:tc>
          <w:tcPr>
            <w:tcW w:type="dxa" w:w="4986"/>
            <w:shd w:fill="0F766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rPr>
                <w:b/>
                <w:color w:val="FFFFFF"/>
              </w:rPr>
              <w:t>范围</w:t>
            </w:r>
          </w:p>
        </w:tc>
        <w:tc>
          <w:tcPr>
            <w:tcW w:type="dxa" w:w="498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t>平台管理后台（Web + PWA）</w:t>
            </w:r>
          </w:p>
        </w:tc>
      </w:tr>
      <w:tr>
        <w:trPr>
          <w:cantSplit/>
        </w:trPr>
        <w:tc>
          <w:tcPr>
            <w:tcW w:type="dxa" w:w="4986"/>
            <w:shd w:fill="0F766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rPr>
                <w:b/>
                <w:color w:val="FFFFFF"/>
              </w:rPr>
              <w:t>文档定位</w:t>
            </w:r>
          </w:p>
        </w:tc>
        <w:tc>
          <w:tcPr>
            <w:tcW w:type="dxa" w:w="498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t>后台业务逻辑、技术设计、数据结构、权限、安全与运营控制基线</w:t>
            </w:r>
          </w:p>
        </w:tc>
      </w:tr>
      <w:tr>
        <w:trPr>
          <w:cantSplit/>
        </w:trPr>
        <w:tc>
          <w:tcPr>
            <w:tcW w:type="dxa" w:w="4986"/>
            <w:shd w:fill="0F766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498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t>V1.0 Full Official Edition</w:t>
            </w:r>
          </w:p>
        </w:tc>
      </w:tr>
      <w:tr>
        <w:trPr>
          <w:cantSplit/>
        </w:trPr>
        <w:tc>
          <w:tcPr>
            <w:tcW w:type="dxa" w:w="4986"/>
            <w:shd w:fill="0F766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498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t>已确认规则正式整理 / 暂不进入开发执行</w:t>
            </w:r>
          </w:p>
        </w:tc>
      </w:tr>
      <w:tr>
        <w:trPr>
          <w:cantSplit/>
        </w:trPr>
        <w:tc>
          <w:tcPr>
            <w:tcW w:type="dxa" w:w="4986"/>
            <w:shd w:fill="0F766E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4986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t>2026-07-10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CFEFF"/>
            <w:tcBorders>
              <w:top w:val="single" w:sz="10" w:color="0F766E"/>
              <w:left w:val="single" w:sz="10" w:color="0F766E"/>
              <w:bottom w:val="single" w:sz="10" w:color="0F766E"/>
              <w:right w:val="single" w:sz="10" w:color="0F766E"/>
            </w:tcBorders>
          </w:tcPr>
          <w:p>
            <w:pPr>
              <w:spacing w:after="40"/>
            </w:pPr>
            <w:r>
              <w:rPr>
                <w:b/>
                <w:color w:val="0F766E"/>
              </w:rPr>
              <w:t>范围声明</w:t>
            </w:r>
          </w:p>
          <w:p>
            <w:pPr>
              <w:spacing w:after="0"/>
            </w:pPr>
            <w:r>
              <w:t>本文件专注于 iPoint 平台管理后台，不重复会员端或商家端的页面设计与功能说明。前台系统仅作为后台数据来源、审核对象或业务接口出现。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7ED"/>
            <w:tcBorders>
              <w:top w:val="single" w:sz="10" w:color="B45309"/>
              <w:left w:val="single" w:sz="10" w:color="B45309"/>
              <w:bottom w:val="single" w:sz="10" w:color="B45309"/>
              <w:right w:val="single" w:sz="10" w:color="B45309"/>
            </w:tcBorders>
          </w:tcPr>
          <w:p>
            <w:pPr>
              <w:spacing w:after="40"/>
            </w:pPr>
            <w:r>
              <w:rPr>
                <w:b/>
                <w:color w:val="B45309"/>
              </w:rPr>
              <w:t>规则声明</w:t>
            </w:r>
          </w:p>
          <w:p>
            <w:pPr>
              <w:spacing w:after="0"/>
            </w:pPr>
            <w:r>
              <w:t>文档将“已拍板业务规则”与“技术实现基线”分开记录。未确认的商业比例、阈值或法律条款，不会被写成最终承诺。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文档所有者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iPoint Product / Platform Team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主要读者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股东、产品、架构、运营、财务、风控、开发与测试团队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开发状态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现阶段用于规则封板与技术设计，不代表已进入开发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变更原则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所有后续变更必须形成新版本并保留变更记录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保密级别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Internal Confidential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417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984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8"/>
              </w:rPr>
              <w:t>V1.0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sz w:val="18"/>
              </w:rPr>
              <w:t>2026-07-10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sz w:val="18"/>
              </w:rPr>
              <w:t>首次完整整理后台逻辑、动态规则、账本、任务、权限、审计、数据与技术架构。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目录</w:t>
      </w:r>
    </w:p>
    <w:p>
      <w:pPr>
        <w:pStyle w:val="Small"/>
        <w:spacing w:after="0" w:line="240" w:lineRule="auto"/>
      </w:pPr>
      <w:r>
        <w:t>1. 产品定位与范围</w:t>
      </w:r>
    </w:p>
    <w:p>
      <w:pPr>
        <w:pStyle w:val="Small"/>
        <w:spacing w:after="0" w:line="240" w:lineRule="auto"/>
      </w:pPr>
      <w:r>
        <w:t>2. 已确认核心决策</w:t>
      </w:r>
    </w:p>
    <w:p>
      <w:pPr>
        <w:pStyle w:val="Small"/>
        <w:spacing w:after="0" w:line="240" w:lineRule="auto"/>
      </w:pPr>
      <w:r>
        <w:t>3. 总体业务架构</w:t>
      </w:r>
    </w:p>
    <w:p>
      <w:pPr>
        <w:pStyle w:val="Small"/>
        <w:spacing w:after="0" w:line="240" w:lineRule="auto"/>
      </w:pPr>
      <w:r>
        <w:t>4. 后台信息架构与导航</w:t>
      </w:r>
    </w:p>
    <w:p>
      <w:pPr>
        <w:pStyle w:val="Small"/>
        <w:spacing w:after="0" w:line="240" w:lineRule="auto"/>
      </w:pPr>
      <w:r>
        <w:t>5. 管理员帐号、角色与权限</w:t>
      </w:r>
    </w:p>
    <w:p>
      <w:pPr>
        <w:pStyle w:val="Small"/>
        <w:spacing w:after="0" w:line="240" w:lineRule="auto"/>
      </w:pPr>
      <w:r>
        <w:t>6. Dashboard 与运营驾驶舱</w:t>
      </w:r>
    </w:p>
    <w:p>
      <w:pPr>
        <w:pStyle w:val="Small"/>
        <w:spacing w:after="0" w:line="240" w:lineRule="auto"/>
      </w:pPr>
      <w:r>
        <w:t>7. 会员管理后台逻辑</w:t>
      </w:r>
    </w:p>
    <w:p>
      <w:pPr>
        <w:pStyle w:val="Small"/>
        <w:spacing w:after="0" w:line="240" w:lineRule="auto"/>
      </w:pPr>
      <w:r>
        <w:t>8. 商家管理后台逻辑</w:t>
      </w:r>
    </w:p>
    <w:p>
      <w:pPr>
        <w:pStyle w:val="Small"/>
        <w:spacing w:after="0" w:line="240" w:lineRule="auto"/>
      </w:pPr>
      <w:r>
        <w:t>9. 动态商业规则中心</w:t>
      </w:r>
    </w:p>
    <w:p>
      <w:pPr>
        <w:pStyle w:val="Small"/>
        <w:spacing w:after="0" w:line="240" w:lineRule="auto"/>
      </w:pPr>
      <w:r>
        <w:t>10. MCP 中心与账本</w:t>
      </w:r>
    </w:p>
    <w:p>
      <w:pPr>
        <w:pStyle w:val="Small"/>
        <w:spacing w:after="0" w:line="240" w:lineRule="auto"/>
      </w:pPr>
      <w:r>
        <w:t>11. 交易中心</w:t>
      </w:r>
    </w:p>
    <w:p>
      <w:pPr>
        <w:pStyle w:val="Small"/>
        <w:spacing w:after="0" w:line="240" w:lineRule="auto"/>
      </w:pPr>
      <w:r>
        <w:t>12. ipoint 钱包与每日回馈引擎</w:t>
      </w:r>
    </w:p>
    <w:p>
      <w:pPr>
        <w:pStyle w:val="Small"/>
        <w:spacing w:after="0" w:line="240" w:lineRule="auto"/>
      </w:pPr>
      <w:r>
        <w:t>13. 代理与佣金管理</w:t>
      </w:r>
    </w:p>
    <w:p>
      <w:pPr>
        <w:pStyle w:val="Small"/>
        <w:spacing w:after="0" w:line="240" w:lineRule="auto"/>
      </w:pPr>
      <w:r>
        <w:t>14. 广告、兑换、内容与通知</w:t>
      </w:r>
    </w:p>
    <w:p>
      <w:pPr>
        <w:pStyle w:val="Small"/>
        <w:spacing w:after="0" w:line="240" w:lineRule="auto"/>
      </w:pPr>
      <w:r>
        <w:t>15. 工单、风控与运营时间轴</w:t>
      </w:r>
    </w:p>
    <w:p>
      <w:pPr>
        <w:pStyle w:val="Small"/>
        <w:spacing w:after="0" w:line="240" w:lineRule="auto"/>
      </w:pPr>
      <w:r>
        <w:t>16. 系统任务、健康状态与紧急控制</w:t>
      </w:r>
    </w:p>
    <w:p>
      <w:pPr>
        <w:pStyle w:val="Small"/>
        <w:spacing w:after="0" w:line="240" w:lineRule="auto"/>
      </w:pPr>
      <w:r>
        <w:t>17. 数据架构与关键实体</w:t>
      </w:r>
    </w:p>
    <w:p>
      <w:pPr>
        <w:pStyle w:val="Small"/>
        <w:spacing w:after="0" w:line="240" w:lineRule="auto"/>
      </w:pPr>
      <w:r>
        <w:t>18. API 与集成架构</w:t>
      </w:r>
    </w:p>
    <w:p>
      <w:pPr>
        <w:pStyle w:val="Small"/>
        <w:spacing w:after="0" w:line="240" w:lineRule="auto"/>
      </w:pPr>
      <w:r>
        <w:t>19. 安全、审计与合规设计</w:t>
      </w:r>
    </w:p>
    <w:p>
      <w:pPr>
        <w:pStyle w:val="Small"/>
        <w:spacing w:after="0" w:line="240" w:lineRule="auto"/>
      </w:pPr>
      <w:r>
        <w:t>20. 非功能需求与技术栈</w:t>
      </w:r>
    </w:p>
    <w:p>
      <w:pPr>
        <w:pStyle w:val="Small"/>
        <w:spacing w:after="0" w:line="240" w:lineRule="auto"/>
      </w:pPr>
      <w:r>
        <w:t>21. V1 范围、阶段与验收标准</w:t>
      </w:r>
    </w:p>
    <w:p>
      <w:pPr>
        <w:pStyle w:val="Small"/>
        <w:spacing w:after="0" w:line="240" w:lineRule="auto"/>
      </w:pPr>
      <w:r>
        <w:t>22. 已拍板决策清单</w:t>
      </w:r>
    </w:p>
    <w:p>
      <w:pPr>
        <w:pStyle w:val="Small"/>
        <w:spacing w:after="0" w:line="240" w:lineRule="auto"/>
      </w:pPr>
      <w:r>
        <w:t>23. 待后续确认事项</w:t>
      </w:r>
    </w:p>
    <w:p>
      <w:r>
        <w:br w:type="page"/>
      </w:r>
    </w:p>
    <w:p>
      <w:pPr>
        <w:pStyle w:val="Heading1"/>
        <w:keepNext/>
      </w:pPr>
      <w:r>
        <w:t>1. 产品定位与范围</w:t>
      </w:r>
    </w:p>
    <w:p>
      <w:pPr>
        <w:pStyle w:val="Heading2"/>
        <w:keepNext/>
      </w:pPr>
      <w:r>
        <w:t>1.1 产品定位</w:t>
      </w:r>
    </w:p>
    <w:p>
      <w:r>
        <w:t>iPoint Admin Console 是 iPoint 平台的内部商业运营与控制中心。它不是单纯的数据查看后台，而是负责审核、配置、账本、规则、风控、运营、财务控制、任务监控与审计追溯的核心系统。</w:t>
      </w:r>
    </w:p>
    <w:p>
      <w:pPr>
        <w:pStyle w:val="Heading2"/>
        <w:keepNext/>
      </w:pPr>
      <w:r>
        <w:t>1.2 终端范围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终端</w:t>
            </w:r>
          </w:p>
        </w:tc>
        <w:tc>
          <w:tcPr>
            <w:tcW w:type="dxa" w:w="1701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5102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Web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sz w:val="18"/>
              </w:rPr>
              <w:t>必须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sz w:val="18"/>
              </w:rPr>
              <w:t>后台主要工作平台，支持桌面与大屏。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PWA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必须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供负责人、运营和授权人员在平板或手机上查看、审核及处理轻量任务。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iOS 原生 App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sz w:val="18"/>
              </w:rPr>
              <w:t>不开发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sz w:val="18"/>
              </w:rPr>
              <w:t>后台不需要独立 iOS 应用。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Android 原生 App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不开发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后台不需要独立 Android 应用。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后台核心职责</w:t>
      </w:r>
    </w:p>
    <w:p>
      <w:pPr>
        <w:pStyle w:val="ListBullet"/>
        <w:spacing w:after="40"/>
      </w:pPr>
      <w:r>
        <w:t>审核：会员 KYC、商家 KYC、广告、兑换、退款及其他需要人工判断的事项。</w:t>
      </w:r>
    </w:p>
    <w:p>
      <w:pPr>
        <w:pStyle w:val="ListBullet"/>
        <w:spacing w:after="40"/>
      </w:pPr>
      <w:r>
        <w:t>配置：市场、商家配套、回馈率、兑换率、佣金率、内容、通知与系统参数。</w:t>
      </w:r>
    </w:p>
    <w:p>
      <w:pPr>
        <w:pStyle w:val="ListBullet"/>
        <w:spacing w:after="40"/>
      </w:pPr>
      <w:r>
        <w:t>账本：MCP、ipoint、佣金、交易及人工调整必须可追溯。</w:t>
      </w:r>
    </w:p>
    <w:p>
      <w:pPr>
        <w:pStyle w:val="ListBullet"/>
        <w:spacing w:after="40"/>
      </w:pPr>
      <w:r>
        <w:t>风控：冻结、争议、异常检测、风险标记及紧急停止。</w:t>
      </w:r>
    </w:p>
    <w:p>
      <w:pPr>
        <w:pStyle w:val="ListBullet"/>
        <w:spacing w:after="40"/>
      </w:pPr>
      <w:r>
        <w:t>运营：Dashboard、全局搜索、导出、任务中心、通知、公告、时间轴和工单。</w:t>
      </w:r>
    </w:p>
    <w:p>
      <w:pPr>
        <w:pStyle w:val="ListBullet"/>
        <w:spacing w:after="40"/>
      </w:pPr>
      <w:r>
        <w:t>审计：所有高风险操作、规则变更和资产变动必须保留历史记录。</w:t>
      </w:r>
    </w:p>
    <w:p>
      <w:pPr>
        <w:pStyle w:val="Heading2"/>
        <w:keepNext/>
      </w:pPr>
      <w:r>
        <w:t>1.4 不在本文件展开的内容</w:t>
      </w:r>
    </w:p>
    <w:p>
      <w:pPr>
        <w:pStyle w:val="ListBullet"/>
        <w:spacing w:after="40"/>
      </w:pPr>
      <w:r>
        <w:t>会员端页面、导航、用户体验与前台功能细节。</w:t>
      </w:r>
    </w:p>
    <w:p>
      <w:pPr>
        <w:pStyle w:val="ListBullet"/>
        <w:spacing w:after="40"/>
      </w:pPr>
      <w:r>
        <w:t>商家端页面、扫码流程 UI、商家资料填写 UI。</w:t>
      </w:r>
    </w:p>
    <w:p>
      <w:pPr>
        <w:pStyle w:val="ListBullet"/>
        <w:spacing w:after="40"/>
      </w:pPr>
      <w:r>
        <w:t>平台法律意见、税务意见和各国牌照结论。</w:t>
      </w:r>
    </w:p>
    <w:p>
      <w:pPr>
        <w:pStyle w:val="ListBullet"/>
        <w:spacing w:after="40"/>
      </w:pPr>
      <w:r>
        <w:t>真实电子钱包、贷款、IPO 认购等后期金融模块。</w:t>
      </w:r>
    </w:p>
    <w:p>
      <w:pPr>
        <w:pStyle w:val="Heading1"/>
        <w:keepNext/>
      </w:pPr>
      <w:r>
        <w:t>2. 已确认核心决策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1247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824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已拍板决策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sz w:val="17"/>
              </w:rPr>
              <w:t>D-01</w:t>
            </w:r>
          </w:p>
        </w:tc>
        <w:tc>
          <w:tcPr>
            <w:tcW w:type="dxa" w:w="7824"/>
            <w:vAlign w:val="top"/>
          </w:tcPr>
          <w:p>
            <w:pPr>
              <w:spacing w:after="20"/>
            </w:pPr>
            <w:r>
              <w:rPr>
                <w:sz w:val="17"/>
              </w:rPr>
              <w:t>后台只开发 Web 与 PWA，不开发 iOS / Android 原生 App。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D-02</w:t>
            </w:r>
          </w:p>
        </w:tc>
        <w:tc>
          <w:tcPr>
            <w:tcW w:type="dxa" w:w="782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后台 UI 必须沿用 iPoint 统一 Design System：白底、蓝绿色、深色文字、圆角卡片、响应式布局。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sz w:val="17"/>
              </w:rPr>
              <w:t>D-03</w:t>
            </w:r>
          </w:p>
        </w:tc>
        <w:tc>
          <w:tcPr>
            <w:tcW w:type="dxa" w:w="7824"/>
            <w:vAlign w:val="top"/>
          </w:tcPr>
          <w:p>
            <w:pPr>
              <w:spacing w:after="20"/>
            </w:pPr>
            <w:r>
              <w:rPr>
                <w:sz w:val="17"/>
              </w:rPr>
              <w:t>后台权限简化，不采用过多组织层级或复杂 Department 架构。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D-04</w:t>
            </w:r>
          </w:p>
        </w:tc>
        <w:tc>
          <w:tcPr>
            <w:tcW w:type="dxa" w:w="782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管理员权限采用 Role + Market Access + Action Permission。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sz w:val="17"/>
              </w:rPr>
              <w:t>D-05</w:t>
            </w:r>
          </w:p>
        </w:tc>
        <w:tc>
          <w:tcPr>
            <w:tcW w:type="dxa" w:w="7824"/>
            <w:vAlign w:val="top"/>
          </w:tcPr>
          <w:p>
            <w:pPr>
              <w:spacing w:after="20"/>
            </w:pPr>
            <w:r>
              <w:rPr>
                <w:sz w:val="17"/>
              </w:rPr>
              <w:t>双人审批仅强制用于人工调整 MCP 和人工调整 ipoint 钱包。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D-06</w:t>
            </w:r>
          </w:p>
        </w:tc>
        <w:tc>
          <w:tcPr>
            <w:tcW w:type="dxa" w:w="782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修改推荐关系不要求双人审批，但仅限最高权限，并强制填写原因与记录审计日志。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sz w:val="17"/>
              </w:rPr>
              <w:t>D-07</w:t>
            </w:r>
          </w:p>
        </w:tc>
        <w:tc>
          <w:tcPr>
            <w:tcW w:type="dxa" w:w="7824"/>
            <w:vAlign w:val="top"/>
          </w:tcPr>
          <w:p>
            <w:pPr>
              <w:spacing w:after="20"/>
            </w:pPr>
            <w:r>
              <w:rPr>
                <w:sz w:val="17"/>
              </w:rPr>
              <w:t>ipoint 每日回馈率为浮动型。每天 00:00 发放时读取当时有效的系统默认回馈率。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D-08</w:t>
            </w:r>
          </w:p>
        </w:tc>
        <w:tc>
          <w:tcPr>
            <w:tcW w:type="dxa" w:w="782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ipoint 回馈率调整只影响生效后尚未发放的每日回馈，不追溯修改已完成发放。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sz w:val="17"/>
              </w:rPr>
              <w:t>D-09</w:t>
            </w:r>
          </w:p>
        </w:tc>
        <w:tc>
          <w:tcPr>
            <w:tcW w:type="dxa" w:w="7824"/>
            <w:vAlign w:val="top"/>
          </w:tcPr>
          <w:p>
            <w:pPr>
              <w:spacing w:after="20"/>
            </w:pPr>
            <w:r>
              <w:rPr>
                <w:sz w:val="17"/>
              </w:rPr>
              <w:t>积分兑换中心兑换率可调整；会员提交兑换订单时锁定当时兑换条件。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D-10</w:t>
            </w:r>
          </w:p>
        </w:tc>
        <w:tc>
          <w:tcPr>
            <w:tcW w:type="dxa" w:w="782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商家保留六个标准配套，同时允许管理员建立特别百分比，例如 8%、12% 或其他获批比例。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sz w:val="17"/>
              </w:rPr>
              <w:t>D-11</w:t>
            </w:r>
          </w:p>
        </w:tc>
        <w:tc>
          <w:tcPr>
            <w:tcW w:type="dxa" w:w="7824"/>
            <w:vAlign w:val="top"/>
          </w:tcPr>
          <w:p>
            <w:pPr>
              <w:spacing w:after="20"/>
            </w:pPr>
            <w:r>
              <w:rPr>
                <w:sz w:val="17"/>
              </w:rPr>
              <w:t>商家服务费比例在交易发生时锁定，不因后续规则调整而改变历史交易。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D-12</w:t>
            </w:r>
          </w:p>
        </w:tc>
        <w:tc>
          <w:tcPr>
            <w:tcW w:type="dxa" w:w="782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代理消费佣金、推荐商家佣金和代理升级佣金均必须后台可调整。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sz w:val="17"/>
              </w:rPr>
              <w:t>D-13</w:t>
            </w:r>
          </w:p>
        </w:tc>
        <w:tc>
          <w:tcPr>
            <w:tcW w:type="dxa" w:w="7824"/>
            <w:vAlign w:val="top"/>
          </w:tcPr>
          <w:p>
            <w:pPr>
              <w:spacing w:after="20"/>
            </w:pPr>
            <w:r>
              <w:rPr>
                <w:sz w:val="17"/>
              </w:rPr>
              <w:t>佣金规则在原始业务发生时锁定，不追溯影响旧交易或旧升级事件。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D-14</w:t>
            </w:r>
          </w:p>
        </w:tc>
        <w:tc>
          <w:tcPr>
            <w:tcW w:type="dxa" w:w="782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所有动态商业规则必须保留版本、生效时间、适用市场、适用范围和审计记录。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20"/>
            </w:pPr>
            <w:r>
              <w:rPr>
                <w:sz w:val="17"/>
              </w:rPr>
              <w:t>D-15</w:t>
            </w:r>
          </w:p>
        </w:tc>
        <w:tc>
          <w:tcPr>
            <w:tcW w:type="dxa" w:w="7824"/>
            <w:vAlign w:val="top"/>
          </w:tcPr>
          <w:p>
            <w:pPr>
              <w:spacing w:after="20"/>
            </w:pPr>
            <w:r>
              <w:rPr>
                <w:sz w:val="17"/>
              </w:rPr>
              <w:t>已被使用的规则、账本和交易记录不可物理删除，只能停用、过期、冲正或归档。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D-16</w:t>
            </w:r>
          </w:p>
        </w:tc>
        <w:tc>
          <w:tcPr>
            <w:tcW w:type="dxa" w:w="782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后台必须包含通知中心、系统任务监控、运营时间轴、全局搜索、导出、系统公告和系统健康状态。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总体业务架构</w:t>
      </w:r>
    </w:p>
    <w:p>
      <w:pPr>
        <w:pStyle w:val="Heading2"/>
        <w:keepNext/>
      </w:pPr>
      <w:r>
        <w:t>3.1 逻辑分层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6803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体验层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Admin Web、Admin PWA、响应式页面、Dashboard、表格、审核表单。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应用层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后台模块服务、工作流、查询、导出、通知、任务控制。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领域层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会员、商家、市场、交易、MCP、钱包、回馈、代理、佣金、兑换、广告、规则。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基础设施层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PostgreSQL、Redis、Queue、Object Storage、Email/Push、Payment Gateway、日志与监控。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治理层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RBAC、Market Access、审计日志、规则版本、账本、风控、数据保留与合规。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推荐后端架构</w:t>
      </w:r>
    </w:p>
    <w:p>
      <w:r>
        <w:t>V1 采用 Modular Monolith（模块化单体）而非一开始拆分微服务。每个领域保留清晰模块边界、独立 Service、Repository、Event 和权限定义，为未来拆分服务预留空间。</w:t>
      </w:r>
    </w:p>
    <w:p>
      <w:pPr>
        <w:pStyle w:val="ListBullet"/>
        <w:spacing w:after="40"/>
      </w:pPr>
      <w:r>
        <w:t>降低部署和运维复杂度。</w:t>
      </w:r>
    </w:p>
    <w:p>
      <w:pPr>
        <w:pStyle w:val="ListBullet"/>
        <w:spacing w:after="40"/>
      </w:pPr>
      <w:r>
        <w:t>减少跨服务分布式事务和数据一致性风险。</w:t>
      </w:r>
    </w:p>
    <w:p>
      <w:pPr>
        <w:pStyle w:val="ListBullet"/>
        <w:spacing w:after="40"/>
      </w:pPr>
      <w:r>
        <w:t>更适合目前规则仍在持续确认的阶段。</w:t>
      </w:r>
    </w:p>
    <w:p>
      <w:pPr>
        <w:pStyle w:val="ListBullet"/>
        <w:spacing w:after="40"/>
      </w:pPr>
      <w:r>
        <w:t>后期可优先拆分交易、回馈任务、通知和报表等高负载模块。</w:t>
      </w:r>
    </w:p>
    <w:p>
      <w:pPr>
        <w:pStyle w:val="Heading2"/>
        <w:keepNext/>
      </w:pPr>
      <w:r>
        <w:t>3.3 核心事件流</w:t>
      </w:r>
    </w:p>
    <w:p>
      <w:pPr>
        <w:pStyle w:val="Heading3"/>
        <w:keepNext/>
      </w:pPr>
      <w:r>
        <w:t>交易到回馈与佣金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1662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交易确认</w:t>
            </w:r>
          </w:p>
        </w:tc>
        <w:tc>
          <w:tcPr>
            <w:tcW w:type="dxa" w:w="1662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锁定商家配套版本</w:t>
            </w:r>
          </w:p>
        </w:tc>
        <w:tc>
          <w:tcPr>
            <w:tcW w:type="dxa" w:w="1662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扣除 MCP</w:t>
            </w:r>
          </w:p>
        </w:tc>
        <w:tc>
          <w:tcPr>
            <w:tcW w:type="dxa" w:w="1662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建立 Reward Plan</w:t>
            </w:r>
          </w:p>
        </w:tc>
        <w:tc>
          <w:tcPr>
            <w:tcW w:type="dxa" w:w="1662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建立佣金记录</w:t>
            </w:r>
          </w:p>
        </w:tc>
        <w:tc>
          <w:tcPr>
            <w:tcW w:type="dxa" w:w="1662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写入 Timeline / Audit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每日 00:00 回馈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启动 Reward Job</w:t>
            </w:r>
          </w:p>
        </w:tc>
        <w:tc>
          <w:tcPr>
            <w:tcW w:type="dxa" w:w="1425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读取当日有效回馈率</w:t>
            </w:r>
          </w:p>
        </w:tc>
        <w:tc>
          <w:tcPr>
            <w:tcW w:type="dxa" w:w="1425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筛选 Active Reward Plan</w:t>
            </w:r>
          </w:p>
        </w:tc>
        <w:tc>
          <w:tcPr>
            <w:tcW w:type="dxa" w:w="1425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计算应发积分</w:t>
            </w:r>
          </w:p>
        </w:tc>
        <w:tc>
          <w:tcPr>
            <w:tcW w:type="dxa" w:w="1425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写入 Wallet Ledger</w:t>
            </w:r>
          </w:p>
        </w:tc>
        <w:tc>
          <w:tcPr>
            <w:tcW w:type="dxa" w:w="1425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更新计划进度</w:t>
            </w:r>
          </w:p>
        </w:tc>
        <w:tc>
          <w:tcPr>
            <w:tcW w:type="dxa" w:w="1425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记录任务结果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人工资产调整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1662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管理员提交调整</w:t>
            </w:r>
          </w:p>
        </w:tc>
        <w:tc>
          <w:tcPr>
            <w:tcW w:type="dxa" w:w="1662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填写原因与附件</w:t>
            </w:r>
          </w:p>
        </w:tc>
        <w:tc>
          <w:tcPr>
            <w:tcW w:type="dxa" w:w="1662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进入 Pending Approval</w:t>
            </w:r>
          </w:p>
        </w:tc>
        <w:tc>
          <w:tcPr>
            <w:tcW w:type="dxa" w:w="1662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第二管理员批准/拒绝</w:t>
            </w:r>
          </w:p>
        </w:tc>
        <w:tc>
          <w:tcPr>
            <w:tcW w:type="dxa" w:w="1662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写入不可变账本</w:t>
            </w:r>
          </w:p>
        </w:tc>
        <w:tc>
          <w:tcPr>
            <w:tcW w:type="dxa" w:w="1662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通知相关对象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后台信息架构与导航</w:t>
      </w:r>
    </w:p>
    <w:p>
      <w:pPr>
        <w:pStyle w:val="Heading2"/>
        <w:keepNext/>
      </w:pPr>
      <w:r>
        <w:t>4.1 一级导航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102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1417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V1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sz w:val="17"/>
              </w:rPr>
              <w:t>核心指标、待办、趋势、市场表现、风险与系统状态</w:t>
            </w:r>
          </w:p>
        </w:tc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Members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会员查询、KYC、钱包、交易、推荐、代理状态、时间轴</w:t>
            </w:r>
          </w:p>
        </w:tc>
        <w:tc>
          <w:tcPr>
            <w:tcW w:type="dxa" w:w="141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Merchants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sz w:val="17"/>
              </w:rPr>
              <w:t>商家审核、配套、MCP、交易、广告、分店、时间轴</w:t>
            </w:r>
          </w:p>
        </w:tc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Transactions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交易查询、争议、冻结、冲正、计算明细</w:t>
            </w:r>
          </w:p>
        </w:tc>
        <w:tc>
          <w:tcPr>
            <w:tcW w:type="dxa" w:w="141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MCP Center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sz w:val="17"/>
              </w:rPr>
              <w:t>充值、账本、退款、冻结、人工调整、对账</w:t>
            </w:r>
          </w:p>
        </w:tc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Wallet &amp; Rewards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钱包、每日回馈、Reward Plan、失败重跑</w:t>
            </w:r>
          </w:p>
        </w:tc>
        <w:tc>
          <w:tcPr>
            <w:tcW w:type="dxa" w:w="141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Agents &amp; Commissions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sz w:val="17"/>
              </w:rPr>
              <w:t>代理激活、团队、佣金、结算批次</w:t>
            </w:r>
          </w:p>
        </w:tc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Business Rules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回馈率、兑换率、商家配套、佣金规则、版本</w:t>
            </w:r>
          </w:p>
        </w:tc>
        <w:tc>
          <w:tcPr>
            <w:tcW w:type="dxa" w:w="141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Advertisements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sz w:val="17"/>
              </w:rPr>
              <w:t>广告申请、审核、排期、上下架、基础统计</w:t>
            </w:r>
          </w:p>
        </w:tc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Redemption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兑换商品、库存、订单、审核、退点</w:t>
            </w:r>
          </w:p>
        </w:tc>
        <w:tc>
          <w:tcPr>
            <w:tcW w:type="dxa" w:w="141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Content &amp; Notifications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sz w:val="17"/>
              </w:rPr>
              <w:t>Banner、公告、FAQ、条款、Email/Push/In-App</w:t>
            </w:r>
          </w:p>
        </w:tc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Support &amp; Risk</w:t>
            </w:r>
          </w:p>
        </w:tc>
        <w:tc>
          <w:tcPr>
            <w:tcW w:type="dxa" w:w="5102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工单、争议、异常、冻结、附件、备注</w:t>
            </w:r>
          </w:p>
        </w:tc>
        <w:tc>
          <w:tcPr>
            <w:tcW w:type="dxa" w:w="141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System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>
              <w:rPr>
                <w:sz w:val="17"/>
              </w:rPr>
              <w:t>管理员、权限、市场、任务、健康、日志、Feature Flag</w:t>
            </w:r>
          </w:p>
        </w:tc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全局能力</w:t>
      </w:r>
    </w:p>
    <w:p>
      <w:pPr>
        <w:pStyle w:val="ListBullet"/>
        <w:spacing w:after="40"/>
      </w:pPr>
      <w:r>
        <w:t>全局搜索：可通过 Member ID、Merchant ID、Transaction ID、Receipt ID、Email、电话等查找。</w:t>
      </w:r>
    </w:p>
    <w:p>
      <w:pPr>
        <w:pStyle w:val="ListBullet"/>
        <w:spacing w:after="40"/>
      </w:pPr>
      <w:r>
        <w:t>全局 Market Switcher：管理员只能切换到已授权市场。</w:t>
      </w:r>
    </w:p>
    <w:p>
      <w:pPr>
        <w:pStyle w:val="ListBullet"/>
        <w:spacing w:after="40"/>
      </w:pPr>
      <w:r>
        <w:t>统一导出：CSV / Excel 为 V1 必须；PDF 打印可作为页面能力。</w:t>
      </w:r>
    </w:p>
    <w:p>
      <w:pPr>
        <w:pStyle w:val="ListBullet"/>
        <w:spacing w:after="40"/>
      </w:pPr>
      <w:r>
        <w:t>统一状态标签：所有模块使用一致状态命名、颜色和语义。</w:t>
      </w:r>
    </w:p>
    <w:p>
      <w:pPr>
        <w:pStyle w:val="ListBullet"/>
        <w:spacing w:after="40"/>
      </w:pPr>
      <w:r>
        <w:t>统一 Timeline：会员、商家、代理、交易等重要对象显示完整运营历史。</w:t>
      </w:r>
    </w:p>
    <w:p>
      <w:pPr>
        <w:pStyle w:val="ListBullet"/>
        <w:spacing w:after="40"/>
      </w:pPr>
      <w:r>
        <w:t>统一 Remark / Attachment：高风险或人工操作必须支持原因和附件。</w:t>
      </w:r>
    </w:p>
    <w:p>
      <w:pPr>
        <w:pStyle w:val="Heading1"/>
        <w:keepNext/>
      </w:pPr>
      <w:r>
        <w:t>5. 管理员帐号、角色与权限</w:t>
      </w:r>
    </w:p>
    <w:p>
      <w:pPr>
        <w:pStyle w:val="Heading2"/>
        <w:keepNext/>
      </w:pPr>
      <w:r>
        <w:t>5.1 简化权限模型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0FDFA"/>
            <w:tcBorders>
              <w:top w:val="single" w:sz="10" w:color="0F766E"/>
              <w:left w:val="single" w:sz="10" w:color="0F766E"/>
              <w:bottom w:val="single" w:sz="10" w:color="0F766E"/>
              <w:right w:val="single" w:sz="10" w:color="0F766E"/>
            </w:tcBorders>
          </w:tcPr>
          <w:p>
            <w:pPr>
              <w:spacing w:after="40"/>
            </w:pPr>
            <w:r>
              <w:rPr>
                <w:b/>
                <w:color w:val="0F766E"/>
              </w:rPr>
              <w:t>确认原则</w:t>
            </w:r>
          </w:p>
          <w:p>
            <w:pPr>
              <w:spacing w:after="0"/>
            </w:pPr>
            <w:r>
              <w:t>不采用复杂的 Organization → Department → Team 多层架构。V1 只采用 Role + Market Access + Action Permission。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984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85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402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sz w:val="18"/>
              </w:rPr>
              <w:t>Role</w:t>
            </w:r>
          </w:p>
        </w:tc>
        <w:tc>
          <w:tcPr>
            <w:tcW w:type="dxa" w:w="3685"/>
            <w:vAlign w:val="top"/>
          </w:tcPr>
          <w:p>
            <w:pPr>
              <w:spacing w:after="20"/>
            </w:pPr>
            <w:r>
              <w:rPr>
                <w:sz w:val="18"/>
              </w:rPr>
              <w:t>决定管理员的基础职责范围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sz w:val="18"/>
              </w:rPr>
              <w:t>Super Admin、Admin、Finance、Customer Service、Viewer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Market Access</w:t>
            </w:r>
          </w:p>
        </w:tc>
        <w:tc>
          <w:tcPr>
            <w:tcW w:type="dxa" w:w="3685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决定可查看与操作哪些市场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Malaysia、Vietnam、多个市场、全部市场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sz w:val="18"/>
              </w:rPr>
              <w:t>Action Permission</w:t>
            </w:r>
          </w:p>
        </w:tc>
        <w:tc>
          <w:tcPr>
            <w:tcW w:type="dxa" w:w="3685"/>
            <w:vAlign w:val="top"/>
          </w:tcPr>
          <w:p>
            <w:pPr>
              <w:spacing w:after="20"/>
            </w:pPr>
            <w:r>
              <w:rPr>
                <w:sz w:val="18"/>
              </w:rPr>
              <w:t>决定具体能做什么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sz w:val="18"/>
              </w:rPr>
              <w:t>member.view、merchant.approve、wallet.adjust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建议基础角色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701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969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主要权限</w:t>
            </w:r>
          </w:p>
        </w:tc>
        <w:tc>
          <w:tcPr>
            <w:tcW w:type="dxa" w:w="3402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sz w:val="17"/>
              </w:rPr>
              <w:t>Super Admin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sz w:val="17"/>
              </w:rPr>
              <w:t>全部市场、全部模块、规则、系统与最高风险操作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sz w:val="17"/>
              </w:rPr>
              <w:t>应限制帐号数量并强制 2FA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Admin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日常会员、商家、内容、广告和运营处理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不可执行未授权财务调整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sz w:val="17"/>
              </w:rPr>
              <w:t>Finance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sz w:val="17"/>
              </w:rPr>
              <w:t>MCP、退款、佣金、对账、财务导出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sz w:val="17"/>
              </w:rPr>
              <w:t>不默认拥有系统设置权限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Customer Service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查询、工单、备注、协助处理</w:t>
            </w:r>
          </w:p>
        </w:tc>
        <w:tc>
          <w:tcPr>
            <w:tcW w:type="dxa" w:w="3402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不可修改资产与商业规则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sz w:val="17"/>
              </w:rPr>
              <w:t>Viewer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sz w:val="17"/>
              </w:rPr>
              <w:t>只读报表与查询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sz w:val="17"/>
              </w:rPr>
              <w:t>不可执行写操作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双人审批范围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835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1701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双人审批</w:t>
            </w:r>
          </w:p>
        </w:tc>
        <w:tc>
          <w:tcPr>
            <w:tcW w:type="dxa" w:w="4535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人工增加 MCP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sz w:val="17"/>
              </w:rPr>
              <w:t>直接改变现有商家资产。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人工扣减 MCP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  <w:tc>
          <w:tcPr>
            <w:tcW w:type="dxa" w:w="45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直接改变现有商家资产。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人工增加 ipoint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sz w:val="17"/>
              </w:rPr>
              <w:t>直接改变现有会员资产。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人工扣减 ipoint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必须</w:t>
            </w:r>
          </w:p>
        </w:tc>
        <w:tc>
          <w:tcPr>
            <w:tcW w:type="dxa" w:w="45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直接改变现有会员资产。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调整回馈率/兑换率/佣金率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sz w:val="17"/>
              </w:rPr>
              <w:t>不需要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sz w:val="17"/>
              </w:rPr>
              <w:t>使用权限、版本、生效时间与 Audit Log 管理。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商家审核/KYC/广告审核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不需要</w:t>
            </w:r>
          </w:p>
        </w:tc>
        <w:tc>
          <w:tcPr>
            <w:tcW w:type="dxa" w:w="45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由授权角色直接处理并记录日志。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修改推荐关系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sz w:val="17"/>
              </w:rPr>
              <w:t>不需要双人审批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sz w:val="17"/>
              </w:rPr>
              <w:t>仅限 Super Admin，强制原因、影响提示和 Audit Log。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5.4 登录与安全</w:t>
      </w:r>
    </w:p>
    <w:p>
      <w:pPr>
        <w:pStyle w:val="ListBullet"/>
        <w:spacing w:after="40"/>
      </w:pPr>
      <w:r>
        <w:t>后台使用 Email + Password 登录。</w:t>
      </w:r>
    </w:p>
    <w:p>
      <w:pPr>
        <w:pStyle w:val="ListBullet"/>
        <w:spacing w:after="40"/>
      </w:pPr>
      <w:r>
        <w:t>必须启用 2FA，建议使用 TOTP Authenticator。</w:t>
      </w:r>
    </w:p>
    <w:p>
      <w:pPr>
        <w:pStyle w:val="ListBullet"/>
        <w:spacing w:after="40"/>
      </w:pPr>
      <w:r>
        <w:t>新设备、异常 IP 或异常国家登录时触发额外验证。</w:t>
      </w:r>
    </w:p>
    <w:p>
      <w:pPr>
        <w:pStyle w:val="ListBullet"/>
        <w:spacing w:after="40"/>
      </w:pPr>
      <w:r>
        <w:t>管理员可查看当前会话并强制登出。</w:t>
      </w:r>
    </w:p>
    <w:p>
      <w:pPr>
        <w:pStyle w:val="ListBullet"/>
        <w:spacing w:after="40"/>
      </w:pPr>
      <w:r>
        <w:t>记录登录成功、失败、IP、国家、设备、浏览器和失败原因。</w:t>
      </w:r>
    </w:p>
    <w:p>
      <w:pPr>
        <w:pStyle w:val="ListBullet"/>
        <w:spacing w:after="40"/>
      </w:pPr>
      <w:r>
        <w:t>高风险会话应使用短有效期和重新验证机制。</w:t>
      </w:r>
    </w:p>
    <w:p>
      <w:pPr>
        <w:pStyle w:val="Heading1"/>
        <w:keepNext/>
      </w:pPr>
      <w:r>
        <w:t>6. Dashboard 与运营驾驶舱</w:t>
      </w:r>
    </w:p>
    <w:p>
      <w:pPr>
        <w:pStyle w:val="Heading2"/>
        <w:keepNext/>
      </w:pPr>
      <w:r>
        <w:t>6.1 V1 核心指标</w:t>
      </w:r>
    </w:p>
    <w:p>
      <w:pPr>
        <w:pStyle w:val="ListBullet"/>
        <w:spacing w:after="40"/>
      </w:pPr>
      <w:r>
        <w:t>今日新增会员、今日新增商家。</w:t>
      </w:r>
    </w:p>
    <w:p>
      <w:pPr>
        <w:pStyle w:val="ListBullet"/>
        <w:spacing w:after="40"/>
      </w:pPr>
      <w:r>
        <w:t>待审核会员 KYC、待审核商家 KYC。</w:t>
      </w:r>
    </w:p>
    <w:p>
      <w:pPr>
        <w:pStyle w:val="ListBullet"/>
        <w:spacing w:after="40"/>
      </w:pPr>
      <w:r>
        <w:t>今日交易金额、平台服务费、MCP 消耗。</w:t>
      </w:r>
    </w:p>
    <w:p>
      <w:pPr>
        <w:pStyle w:val="ListBullet"/>
        <w:spacing w:after="40"/>
      </w:pPr>
      <w:r>
        <w:t>今日新增 ipoint、待处理回馈异常。</w:t>
      </w:r>
    </w:p>
    <w:p>
      <w:pPr>
        <w:pStyle w:val="ListBullet"/>
        <w:spacing w:after="40"/>
      </w:pPr>
      <w:r>
        <w:t>待处理充值、退款、广告和兑换。</w:t>
      </w:r>
    </w:p>
    <w:p>
      <w:pPr>
        <w:pStyle w:val="ListBullet"/>
        <w:spacing w:after="40"/>
      </w:pPr>
      <w:r>
        <w:t>代理激活与佣金待处理数量。</w:t>
      </w:r>
    </w:p>
    <w:p>
      <w:pPr>
        <w:pStyle w:val="ListBullet"/>
        <w:spacing w:after="40"/>
      </w:pPr>
      <w:r>
        <w:t>各市场交易、商家活跃和会员活跃表现。</w:t>
      </w:r>
    </w:p>
    <w:p>
      <w:pPr>
        <w:pStyle w:val="ListBullet"/>
        <w:spacing w:after="40"/>
      </w:pPr>
      <w:r>
        <w:t>系统任务、API、Queue、Database、Redis、通知服务状态。</w:t>
      </w:r>
    </w:p>
    <w:p>
      <w:pPr>
        <w:pStyle w:val="Heading2"/>
        <w:keepNext/>
      </w:pPr>
      <w:r>
        <w:t>6.2 Dashboard 交互</w:t>
      </w:r>
    </w:p>
    <w:p>
      <w:pPr>
        <w:pStyle w:val="ListBullet"/>
        <w:spacing w:after="40"/>
      </w:pPr>
      <w:r>
        <w:t>Market、日期、商家类型、配套和状态筛选。</w:t>
      </w:r>
    </w:p>
    <w:p>
      <w:pPr>
        <w:pStyle w:val="ListBullet"/>
        <w:spacing w:after="40"/>
      </w:pPr>
      <w:r>
        <w:t>所有待办卡片可点击进入对应已筛选列表。</w:t>
      </w:r>
    </w:p>
    <w:p>
      <w:pPr>
        <w:pStyle w:val="ListBullet"/>
        <w:spacing w:after="40"/>
      </w:pPr>
      <w:r>
        <w:t>不同角色显示不同重点，但不要求建立完全独立 Dashboard 产品。</w:t>
      </w:r>
    </w:p>
    <w:p>
      <w:pPr>
        <w:pStyle w:val="ListBullet"/>
        <w:spacing w:after="40"/>
      </w:pPr>
      <w:r>
        <w:t>PWA 重点支持查看、通知和轻量审批，不承担复杂批量财务工作。</w:t>
      </w:r>
    </w:p>
    <w:p>
      <w:pPr>
        <w:pStyle w:val="Heading1"/>
        <w:keepNext/>
      </w:pPr>
      <w:r>
        <w:t>7. 会员管理后台逻辑</w:t>
      </w:r>
    </w:p>
    <w:p>
      <w:r>
        <w:t>本章仅描述后台对会员数据的管理、审核与控制，不重复会员端页面或用户流程。</w:t>
      </w:r>
    </w:p>
    <w:p>
      <w:pPr>
        <w:pStyle w:val="Heading2"/>
        <w:keepNext/>
      </w:pPr>
      <w:r>
        <w:t>7.1 列表与查询</w:t>
      </w:r>
    </w:p>
    <w:p>
      <w:pPr>
        <w:pStyle w:val="ListBullet"/>
        <w:spacing w:after="40"/>
      </w:pPr>
      <w:r>
        <w:t>按 Member ID、姓名、Email、电话、推荐码、推荐人、国家、KYC、代理状态、风险状态和日期查询。</w:t>
      </w:r>
    </w:p>
    <w:p>
      <w:pPr>
        <w:pStyle w:val="ListBullet"/>
        <w:spacing w:after="40"/>
      </w:pPr>
      <w:r>
        <w:t>列表支持保存筛选条件、分页、排序和导出。</w:t>
      </w:r>
    </w:p>
    <w:p>
      <w:pPr>
        <w:pStyle w:val="ListBullet"/>
        <w:spacing w:after="40"/>
      </w:pPr>
      <w:r>
        <w:t>敏感资料根据权限掩码显示。</w:t>
      </w:r>
    </w:p>
    <w:p>
      <w:pPr>
        <w:pStyle w:val="Heading2"/>
        <w:keepNext/>
      </w:pPr>
      <w:r>
        <w:t>7.2 会员详情后台视图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6803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后台内容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Overview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身份、市场、状态、风险、钱包摘要、最近活动。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Profile &amp; KYC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注册资料、KYC 等级、审核记录、附件与驳回原因。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Wallet &amp; Rewards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各市场钱包、Ledger、Reward Plan、发放记录。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Transactions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消费交易、争议、对应商家和回馈状态。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Referral &amp; Team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推荐人、下线关系、团队树和修改历史。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Agent &amp; Commission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代理状态、升级条件、佣金记录。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Login &amp; Device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设备、会话、登录历史和强制登出。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Timeline &amp; Admin Logs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完整运营事件与管理员操作记录。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后台操作控制</w:t>
      </w:r>
    </w:p>
    <w:p>
      <w:pPr>
        <w:pStyle w:val="ListBullet"/>
        <w:spacing w:after="40"/>
      </w:pPr>
      <w:r>
        <w:t>审核或驳回 KYC，并强制填写原因。</w:t>
      </w:r>
    </w:p>
    <w:p>
      <w:pPr>
        <w:pStyle w:val="ListBullet"/>
        <w:spacing w:after="40"/>
      </w:pPr>
      <w:r>
        <w:t>冻结、解冻、Suspend、Reactivate；禁止物理删除。</w:t>
      </w:r>
    </w:p>
    <w:p>
      <w:pPr>
        <w:pStyle w:val="ListBullet"/>
        <w:spacing w:after="40"/>
      </w:pPr>
      <w:r>
        <w:t>审核 Account Country 修改申请。</w:t>
      </w:r>
    </w:p>
    <w:p>
      <w:pPr>
        <w:pStyle w:val="ListBullet"/>
        <w:spacing w:after="40"/>
      </w:pPr>
      <w:r>
        <w:t>人工调整 ipoint 时必须走双人审批并生成 Wallet Ledger。</w:t>
      </w:r>
    </w:p>
    <w:p>
      <w:pPr>
        <w:pStyle w:val="ListBullet"/>
        <w:spacing w:after="40"/>
      </w:pPr>
      <w:r>
        <w:t>修改推荐关系仅限 Super Admin，并显示对团队和佣金的影响提示。</w:t>
      </w:r>
    </w:p>
    <w:p>
      <w:pPr>
        <w:pStyle w:val="ListBullet"/>
        <w:spacing w:after="40"/>
      </w:pPr>
      <w:r>
        <w:t>所有重要操作写入 Timeline 与 Audit Log。</w:t>
      </w:r>
    </w:p>
    <w:p>
      <w:pPr>
        <w:pStyle w:val="Heading1"/>
        <w:keepNext/>
      </w:pPr>
      <w:r>
        <w:t>8. 商家管理后台逻辑</w:t>
      </w:r>
    </w:p>
    <w:p>
      <w:r>
        <w:t>本章仅描述平台后台对商家的审核、配置、账本与运营控制，不重复商家端页面。</w:t>
      </w:r>
    </w:p>
    <w:p>
      <w:pPr>
        <w:pStyle w:val="Heading2"/>
        <w:keepNext/>
      </w:pPr>
      <w:r>
        <w:t>8.1 商家生命周期</w:t>
      </w:r>
    </w:p>
    <w:p>
      <w:pPr>
        <w:pStyle w:val="Heading3"/>
        <w:keepNext/>
      </w:pPr>
      <w:r>
        <w:t>商家生命周期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Draft</w:t>
            </w:r>
          </w:p>
        </w:tc>
        <w:tc>
          <w:tcPr>
            <w:tcW w:type="dxa" w:w="1425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Pending Review</w:t>
            </w:r>
          </w:p>
        </w:tc>
        <w:tc>
          <w:tcPr>
            <w:tcW w:type="dxa" w:w="1425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Approved</w:t>
            </w:r>
          </w:p>
        </w:tc>
        <w:tc>
          <w:tcPr>
            <w:tcW w:type="dxa" w:w="1425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Active</w:t>
            </w:r>
          </w:p>
        </w:tc>
        <w:tc>
          <w:tcPr>
            <w:tcW w:type="dxa" w:w="1425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Suspended</w:t>
            </w:r>
          </w:p>
        </w:tc>
        <w:tc>
          <w:tcPr>
            <w:tcW w:type="dxa" w:w="1425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Terminated</w:t>
            </w:r>
          </w:p>
        </w:tc>
        <w:tc>
          <w:tcPr>
            <w:tcW w:type="dxa" w:w="1425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Archived</w:t>
            </w:r>
          </w:p>
        </w:tc>
      </w:tr>
    </w:tbl>
    <w:p>
      <w:pPr>
        <w:spacing w:after="20"/>
      </w:pPr>
    </w:p>
    <w:p>
      <w:r>
        <w:t>商家不可物理删除。Terminated 与 Archived 仅改变可用状态，历史交易、MCP、广告和审计资料必须保留。</w:t>
      </w:r>
    </w:p>
    <w:p>
      <w:pPr>
        <w:pStyle w:val="Heading2"/>
        <w:keepNext/>
      </w:pPr>
      <w:r>
        <w:t>8.2 后台审核与配置</w:t>
      </w:r>
    </w:p>
    <w:p>
      <w:pPr>
        <w:pStyle w:val="ListBullet"/>
        <w:spacing w:after="40"/>
      </w:pPr>
      <w:r>
        <w:t>审核公司注册文件、负责人文件、商家资料、地址、类别、分店关系和推荐代理。</w:t>
      </w:r>
    </w:p>
    <w:p>
      <w:pPr>
        <w:pStyle w:val="ListBullet"/>
        <w:spacing w:after="40"/>
      </w:pPr>
      <w:r>
        <w:t>可分配一个或多个标准／特别配套，并设置默认配套、生效时间与失效时间。</w:t>
      </w:r>
    </w:p>
    <w:p>
      <w:pPr>
        <w:pStyle w:val="ListBullet"/>
        <w:spacing w:after="40"/>
      </w:pPr>
      <w:r>
        <w:t>商家拥有两个或以上有效配套时，交易前由商家选择实际使用配套。</w:t>
      </w:r>
    </w:p>
    <w:p>
      <w:pPr>
        <w:pStyle w:val="ListBullet"/>
        <w:spacing w:after="40"/>
      </w:pPr>
      <w:r>
        <w:t>后台可 Suspend、Reactivate、Terminate，并保留理由、附件与日志。</w:t>
      </w:r>
    </w:p>
    <w:p>
      <w:pPr>
        <w:pStyle w:val="ListBullet"/>
        <w:spacing w:after="40"/>
      </w:pPr>
      <w:r>
        <w:t>Email 不允许由商家自行修改；后台若处理例外必须记录原因与安全验证。</w:t>
      </w:r>
    </w:p>
    <w:p>
      <w:pPr>
        <w:pStyle w:val="Heading2"/>
        <w:keepNext/>
      </w:pPr>
      <w:r>
        <w:t>8.3 商家详情后台视图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6803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后台内容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Overview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状态、市场、服务费配套、MCP、交易、累计平台服务费。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Company &amp; KYC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公司资料、证件、审核和分店。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Packages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标准与特别配套、版本、默认项、有效期。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MCP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余额、充值、扣除、广告消费、退款和调整。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Transactions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交易、Receipt、服务费、配套版本、争议。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Advertisements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申请、审核、投放和扣费。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Risk &amp; Timeline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冻结、异常、内部备注、附件和时间轴。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动态商业规则中心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0FDFA"/>
            <w:tcBorders>
              <w:top w:val="single" w:sz="10" w:color="0F766E"/>
              <w:left w:val="single" w:sz="10" w:color="0F766E"/>
              <w:bottom w:val="single" w:sz="10" w:color="0F766E"/>
              <w:right w:val="single" w:sz="10" w:color="0F766E"/>
            </w:tcBorders>
          </w:tcPr>
          <w:p>
            <w:pPr>
              <w:spacing w:after="40"/>
            </w:pPr>
            <w:r>
              <w:rPr>
                <w:b/>
                <w:color w:val="0F766E"/>
              </w:rPr>
              <w:t>核心原则</w:t>
            </w:r>
          </w:p>
          <w:p>
            <w:pPr>
              <w:spacing w:after="0"/>
            </w:pPr>
            <w:r>
              <w:t>所有影响回馈、兑换、服务费和佣金的比例都不得写死在代码中。规则必须版本化、可追溯、可排期，并明确锁定时间点。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规则类型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381"/>
            <w:shd w:fill="0F766E"/>
            <w:vAlign w:val="center"/>
          </w:tcPr>
          <w:p>
            <w:r>
              <w:rPr>
                <w:b/>
                <w:color w:val="FFFFFF"/>
                <w:sz w:val="16"/>
              </w:rPr>
              <w:t>规则类型</w:t>
            </w:r>
          </w:p>
        </w:tc>
        <w:tc>
          <w:tcPr>
            <w:tcW w:type="dxa" w:w="4082"/>
            <w:shd w:fill="0F766E"/>
            <w:vAlign w:val="center"/>
          </w:tcPr>
          <w:p>
            <w:r>
              <w:rPr>
                <w:b/>
                <w:color w:val="FFFFFF"/>
                <w:sz w:val="16"/>
              </w:rPr>
              <w:t>可调整内容</w:t>
            </w:r>
          </w:p>
        </w:tc>
        <w:tc>
          <w:tcPr>
            <w:tcW w:type="dxa" w:w="2948"/>
            <w:shd w:fill="0F766E"/>
            <w:vAlign w:val="center"/>
          </w:tcPr>
          <w:p>
            <w:r>
              <w:rPr>
                <w:b/>
                <w:color w:val="FFFFFF"/>
                <w:sz w:val="16"/>
              </w:rPr>
              <w:t>锁定/读取时间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20"/>
            </w:pPr>
            <w:r>
              <w:rPr>
                <w:sz w:val="16"/>
              </w:rPr>
              <w:t>ipoint 每日回馈率</w:t>
            </w:r>
          </w:p>
        </w:tc>
        <w:tc>
          <w:tcPr>
            <w:tcW w:type="dxa" w:w="4082"/>
            <w:vAlign w:val="top"/>
          </w:tcPr>
          <w:p>
            <w:pPr>
              <w:spacing w:after="20"/>
            </w:pPr>
            <w:r>
              <w:rPr>
                <w:sz w:val="16"/>
              </w:rPr>
              <w:t>默认率、市场率、配套率、商家特别率、有效期</w:t>
            </w:r>
          </w:p>
        </w:tc>
        <w:tc>
          <w:tcPr>
            <w:tcW w:type="dxa" w:w="2948"/>
            <w:vAlign w:val="top"/>
          </w:tcPr>
          <w:p>
            <w:pPr>
              <w:spacing w:after="20"/>
            </w:pPr>
            <w:r>
              <w:rPr>
                <w:sz w:val="16"/>
              </w:rPr>
              <w:t>每天 00:00 发放时读取有效规则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8FAFC"/>
          </w:tcPr>
          <w:p>
            <w:pPr>
              <w:spacing w:after="20"/>
            </w:pPr>
            <w:r>
              <w:rPr>
                <w:sz w:val="16"/>
              </w:rPr>
              <w:t>积分兑换率</w:t>
            </w:r>
          </w:p>
        </w:tc>
        <w:tc>
          <w:tcPr>
            <w:tcW w:type="dxa" w:w="4082"/>
            <w:vAlign w:val="top"/>
            <w:shd w:fill="F8FAFC"/>
          </w:tcPr>
          <w:p>
            <w:pPr>
              <w:spacing w:after="20"/>
            </w:pPr>
            <w:r>
              <w:rPr>
                <w:sz w:val="16"/>
              </w:rPr>
              <w:t>市场基础兑换率、商品独立兑换点数、有效期</w:t>
            </w:r>
          </w:p>
        </w:tc>
        <w:tc>
          <w:tcPr>
            <w:tcW w:type="dxa" w:w="2948"/>
            <w:vAlign w:val="top"/>
            <w:shd w:fill="F8FAFC"/>
          </w:tcPr>
          <w:p>
            <w:pPr>
              <w:spacing w:after="20"/>
            </w:pPr>
            <w:r>
              <w:rPr>
                <w:sz w:val="16"/>
              </w:rPr>
              <w:t>兑换订单提交时锁定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20"/>
            </w:pPr>
            <w:r>
              <w:rPr>
                <w:sz w:val="16"/>
              </w:rPr>
              <w:t>商家服务费配套</w:t>
            </w:r>
          </w:p>
        </w:tc>
        <w:tc>
          <w:tcPr>
            <w:tcW w:type="dxa" w:w="4082"/>
            <w:vAlign w:val="top"/>
          </w:tcPr>
          <w:p>
            <w:pPr>
              <w:spacing w:after="20"/>
            </w:pPr>
            <w:r>
              <w:rPr>
                <w:sz w:val="16"/>
              </w:rPr>
              <w:t>A-F 标准比例、特别百分比、有效期</w:t>
            </w:r>
          </w:p>
        </w:tc>
        <w:tc>
          <w:tcPr>
            <w:tcW w:type="dxa" w:w="2948"/>
            <w:vAlign w:val="top"/>
          </w:tcPr>
          <w:p>
            <w:pPr>
              <w:spacing w:after="20"/>
            </w:pPr>
            <w:r>
              <w:rPr>
                <w:sz w:val="16"/>
              </w:rPr>
              <w:t>交易发生时锁定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8FAFC"/>
          </w:tcPr>
          <w:p>
            <w:pPr>
              <w:spacing w:after="20"/>
            </w:pPr>
            <w:r>
              <w:rPr>
                <w:sz w:val="16"/>
              </w:rPr>
              <w:t>会员消费代理佣金</w:t>
            </w:r>
          </w:p>
        </w:tc>
        <w:tc>
          <w:tcPr>
            <w:tcW w:type="dxa" w:w="4082"/>
            <w:vAlign w:val="top"/>
            <w:shd w:fill="F8FAFC"/>
          </w:tcPr>
          <w:p>
            <w:pPr>
              <w:spacing w:after="20"/>
            </w:pPr>
            <w:r>
              <w:rPr>
                <w:sz w:val="16"/>
              </w:rPr>
              <w:t>第一代、第二代或未来代数比例</w:t>
            </w:r>
          </w:p>
        </w:tc>
        <w:tc>
          <w:tcPr>
            <w:tcW w:type="dxa" w:w="2948"/>
            <w:vAlign w:val="top"/>
            <w:shd w:fill="F8FAFC"/>
          </w:tcPr>
          <w:p>
            <w:pPr>
              <w:spacing w:after="20"/>
            </w:pPr>
            <w:r>
              <w:rPr>
                <w:sz w:val="16"/>
              </w:rPr>
              <w:t>交易发生时锁定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20"/>
            </w:pPr>
            <w:r>
              <w:rPr>
                <w:sz w:val="16"/>
              </w:rPr>
              <w:t>推荐商家佣金</w:t>
            </w:r>
          </w:p>
        </w:tc>
        <w:tc>
          <w:tcPr>
            <w:tcW w:type="dxa" w:w="4082"/>
            <w:vAlign w:val="top"/>
          </w:tcPr>
          <w:p>
            <w:pPr>
              <w:spacing w:after="20"/>
            </w:pPr>
            <w:r>
              <w:rPr>
                <w:sz w:val="16"/>
              </w:rPr>
              <w:t>比例、市场、商家、代理等级或类别</w:t>
            </w:r>
          </w:p>
        </w:tc>
        <w:tc>
          <w:tcPr>
            <w:tcW w:type="dxa" w:w="2948"/>
            <w:vAlign w:val="top"/>
          </w:tcPr>
          <w:p>
            <w:pPr>
              <w:spacing w:after="20"/>
            </w:pPr>
            <w:r>
              <w:rPr>
                <w:sz w:val="16"/>
              </w:rPr>
              <w:t>交易发生时锁定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8FAFC"/>
          </w:tcPr>
          <w:p>
            <w:pPr>
              <w:spacing w:after="20"/>
            </w:pPr>
            <w:r>
              <w:rPr>
                <w:sz w:val="16"/>
              </w:rPr>
              <w:t>代理升级佣金</w:t>
            </w:r>
          </w:p>
        </w:tc>
        <w:tc>
          <w:tcPr>
            <w:tcW w:type="dxa" w:w="4082"/>
            <w:vAlign w:val="top"/>
            <w:shd w:fill="F8FAFC"/>
          </w:tcPr>
          <w:p>
            <w:pPr>
              <w:spacing w:after="20"/>
            </w:pPr>
            <w:r>
              <w:rPr>
                <w:sz w:val="16"/>
              </w:rPr>
              <w:t>固定金额或百分比、代数、市场与货币</w:t>
            </w:r>
          </w:p>
        </w:tc>
        <w:tc>
          <w:tcPr>
            <w:tcW w:type="dxa" w:w="2948"/>
            <w:vAlign w:val="top"/>
            <w:shd w:fill="F8FAFC"/>
          </w:tcPr>
          <w:p>
            <w:pPr>
              <w:spacing w:after="20"/>
            </w:pPr>
            <w:r>
              <w:rPr>
                <w:sz w:val="16"/>
              </w:rPr>
              <w:t>升级资格成立时锁定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ipoint 每日回馈率</w:t>
      </w:r>
    </w:p>
    <w:p>
      <w:pPr>
        <w:pStyle w:val="ListBullet"/>
        <w:spacing w:after="40"/>
      </w:pPr>
      <w:r>
        <w:t>回馈率为浮动型。</w:t>
      </w:r>
    </w:p>
    <w:p>
      <w:pPr>
        <w:pStyle w:val="ListBullet"/>
        <w:spacing w:after="40"/>
      </w:pPr>
      <w:r>
        <w:t>每天当地时间 00:00 发放时，系统读取当时有效的系统默认回馈率。</w:t>
      </w:r>
    </w:p>
    <w:p>
      <w:pPr>
        <w:pStyle w:val="ListBullet"/>
        <w:spacing w:after="40"/>
      </w:pPr>
      <w:r>
        <w:t>规则调整只影响生效后尚未发放的每日回馈；已完成发放不得回溯修改。</w:t>
      </w:r>
    </w:p>
    <w:p>
      <w:pPr>
        <w:pStyle w:val="ListBullet"/>
        <w:spacing w:after="40"/>
      </w:pPr>
      <w:r>
        <w:t>每天回馈以原始消费金额作为固定计算本金，直至达到该笔交易允许的回馈上限。</w:t>
      </w:r>
    </w:p>
    <w:p>
      <w:pPr>
        <w:pStyle w:val="ListBullet"/>
        <w:spacing w:after="40"/>
      </w:pPr>
      <w:r>
        <w:t>每次发放记录实际使用的规则版本、百分比、计算金额和结果。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0FDF4"/>
            <w:tcBorders>
              <w:top w:val="single" w:sz="10" w:color="15803D"/>
              <w:left w:val="single" w:sz="10" w:color="15803D"/>
              <w:bottom w:val="single" w:sz="10" w:color="15803D"/>
              <w:right w:val="single" w:sz="10" w:color="15803D"/>
            </w:tcBorders>
          </w:tcPr>
          <w:p>
            <w:pPr>
              <w:spacing w:after="40"/>
            </w:pPr>
            <w:r>
              <w:rPr>
                <w:b/>
                <w:color w:val="15803D"/>
              </w:rPr>
              <w:t>示例</w:t>
            </w:r>
          </w:p>
          <w:p>
            <w:pPr>
              <w:spacing w:after="0"/>
            </w:pPr>
            <w:r>
              <w:t>消费 RM1,000。7 月 1 日前默认率为 0.05%，7 月 1 日起调整为 0.04%。6 月 30 日发放使用 0.05%；7 月 1 日及以后使用 0.04%，直至再次调整或回馈完成。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回馈率优先级</w:t>
      </w:r>
    </w:p>
    <w:p>
      <w:pPr>
        <w:pStyle w:val="ListNumber"/>
        <w:spacing w:after="40"/>
      </w:pPr>
      <w:r>
        <w:t>指定商家特别回馈率。</w:t>
      </w:r>
    </w:p>
    <w:p>
      <w:pPr>
        <w:pStyle w:val="ListNumber"/>
        <w:spacing w:after="40"/>
      </w:pPr>
      <w:r>
        <w:t>指定商家配套回馈率。</w:t>
      </w:r>
    </w:p>
    <w:p>
      <w:pPr>
        <w:pStyle w:val="ListNumber"/>
        <w:spacing w:after="40"/>
      </w:pPr>
      <w:r>
        <w:t>国家市场默认回馈率。</w:t>
      </w:r>
    </w:p>
    <w:p>
      <w:pPr>
        <w:pStyle w:val="ListNumber"/>
        <w:spacing w:after="40"/>
      </w:pPr>
      <w:r>
        <w:t>全球默认回馈率。</w:t>
      </w:r>
    </w:p>
    <w:p>
      <w:r>
        <w:t>同一层级出现重叠规则时，系统不得自行猜测；必须禁止冲突发布，或依据明确优先级与最新批准版本处理。</w:t>
      </w:r>
    </w:p>
    <w:p>
      <w:pPr>
        <w:pStyle w:val="Heading2"/>
        <w:keepNext/>
      </w:pPr>
      <w:r>
        <w:t>9.4 积分兑换率</w:t>
      </w:r>
    </w:p>
    <w:p>
      <w:pPr>
        <w:pStyle w:val="ListBullet"/>
        <w:spacing w:after="40"/>
      </w:pPr>
      <w:r>
        <w:t>各市场可配置不同基础兑换率。</w:t>
      </w:r>
    </w:p>
    <w:p>
      <w:pPr>
        <w:pStyle w:val="ListBullet"/>
        <w:spacing w:after="40"/>
      </w:pPr>
      <w:r>
        <w:t>商品可设置独立所需 ipoint，不必严格等于基础兑换率。</w:t>
      </w:r>
    </w:p>
    <w:p>
      <w:pPr>
        <w:pStyle w:val="ListBullet"/>
        <w:spacing w:after="40"/>
      </w:pPr>
      <w:r>
        <w:t>会员提交兑换订单时锁定兑换率、商品点数、市场、库存和条款版本。</w:t>
      </w:r>
    </w:p>
    <w:p>
      <w:pPr>
        <w:pStyle w:val="ListBullet"/>
        <w:spacing w:after="40"/>
      </w:pPr>
      <w:r>
        <w:t>规则后续变化不得重新计算已提交订单。</w:t>
      </w:r>
    </w:p>
    <w:p>
      <w:pPr>
        <w:pStyle w:val="ListBullet"/>
        <w:spacing w:after="40"/>
      </w:pPr>
      <w:r>
        <w:t>兑换率变更必须记录版本、生效时间、原因和操作管理员。</w:t>
      </w:r>
    </w:p>
    <w:p>
      <w:pPr>
        <w:pStyle w:val="Heading2"/>
        <w:keepNext/>
      </w:pPr>
      <w:r>
        <w:t>9.5 商家标准配套与特别百分比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803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标准配套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A 2.5%、B 5%、C 10%、D 15%、E 20%、F 25%。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特别配套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允许管理员输入 8%、12% 或其他获批准比例。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多配套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商家可拥有多个有效配套；两个或以上时交易前选择。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版本锁定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交易保存 Package Version、实际比例与计算结果，不只保存名称。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历史保护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已产生交易的配套不可覆盖修改，只能创建新版本。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9.6 佣金规则</w:t>
      </w:r>
    </w:p>
    <w:p>
      <w:pPr>
        <w:pStyle w:val="ListBullet"/>
        <w:spacing w:after="40"/>
      </w:pPr>
      <w:r>
        <w:t>会员消费佣金、推荐商家佣金、代理升级佣金全部后台可调整。</w:t>
      </w:r>
    </w:p>
    <w:p>
      <w:pPr>
        <w:pStyle w:val="ListBullet"/>
        <w:spacing w:after="40"/>
      </w:pPr>
      <w:r>
        <w:t>规则可按市场、代数、代理等级、商家类别或特定对象配置。</w:t>
      </w:r>
    </w:p>
    <w:p>
      <w:pPr>
        <w:pStyle w:val="ListBullet"/>
        <w:spacing w:after="40"/>
      </w:pPr>
      <w:r>
        <w:t>佣金以业务发生时有效规则锁定，后续变化不追溯旧交易。</w:t>
      </w:r>
    </w:p>
    <w:p>
      <w:pPr>
        <w:pStyle w:val="ListBullet"/>
        <w:spacing w:after="40"/>
      </w:pPr>
      <w:r>
        <w:t>佣金记录必须保存来源交易、平台服务费、关系链、规则版本和最终金额。</w:t>
      </w:r>
    </w:p>
    <w:p>
      <w:pPr>
        <w:pStyle w:val="Heading2"/>
        <w:keepNext/>
      </w:pPr>
      <w:r>
        <w:t>9.7 规则状态与发布</w:t>
      </w:r>
    </w:p>
    <w:p>
      <w:pPr>
        <w:pStyle w:val="Heading3"/>
        <w:keepNext/>
      </w:pPr>
      <w:r>
        <w:t>规则生命周期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Draft</w:t>
            </w:r>
          </w:p>
        </w:tc>
        <w:tc>
          <w:tcPr>
            <w:tcW w:type="dxa" w:w="1994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Scheduled</w:t>
            </w:r>
          </w:p>
        </w:tc>
        <w:tc>
          <w:tcPr>
            <w:tcW w:type="dxa" w:w="1994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Active</w:t>
            </w:r>
          </w:p>
        </w:tc>
        <w:tc>
          <w:tcPr>
            <w:tcW w:type="dxa" w:w="1994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Expired</w:t>
            </w:r>
          </w:p>
        </w:tc>
        <w:tc>
          <w:tcPr>
            <w:tcW w:type="dxa" w:w="1994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Cancelled</w:t>
            </w:r>
          </w:p>
        </w:tc>
      </w:tr>
    </w:tbl>
    <w:p>
      <w:pPr>
        <w:spacing w:after="20"/>
      </w:pPr>
    </w:p>
    <w:p>
      <w:r>
        <w:t>规则调整不采用双人审批作为强制流程，但只有获授权角色可以发布；系统必须显示影响模拟、冲突检测、变更原因和完整 Audit Log。</w:t>
      </w:r>
    </w:p>
    <w:p>
      <w:pPr>
        <w:pStyle w:val="Heading2"/>
        <w:keepNext/>
      </w:pPr>
      <w:r>
        <w:t>9.8 规则模拟器</w:t>
      </w:r>
    </w:p>
    <w:p>
      <w:r>
        <w:t>后台应提供 Simulation Calculator，让管理员在发布前输入消费金额、服务费比例、回馈率和佣金率，预览平台收入、会员回馈及佣金结果。该工具为强烈建议的 V1 安全能力。</w:t>
      </w:r>
    </w:p>
    <w:p>
      <w:pPr>
        <w:pStyle w:val="Heading1"/>
        <w:keepNext/>
      </w:pPr>
      <w:r>
        <w:t>10. MCP 中心与账本</w:t>
      </w:r>
    </w:p>
    <w:p>
      <w:pPr>
        <w:pStyle w:val="Heading2"/>
        <w:keepNext/>
      </w:pPr>
      <w:r>
        <w:t>10.1 核心原则</w:t>
      </w:r>
    </w:p>
    <w:p>
      <w:pPr>
        <w:pStyle w:val="ListBullet"/>
        <w:spacing w:after="40"/>
      </w:pPr>
      <w:r>
        <w:t>MCP 是点数账本，不以单一余额字段作为唯一事实来源。</w:t>
      </w:r>
    </w:p>
    <w:p>
      <w:pPr>
        <w:pStyle w:val="ListBullet"/>
        <w:spacing w:after="40"/>
      </w:pPr>
      <w:r>
        <w:t>所有增加、扣减、退款、冻结和冲正必须形成不可变 Ledger。</w:t>
      </w:r>
    </w:p>
    <w:p>
      <w:pPr>
        <w:pStyle w:val="ListBullet"/>
        <w:spacing w:after="40"/>
      </w:pPr>
      <w:r>
        <w:t>当前余额由 Ledger 汇总或可靠快照计算。</w:t>
      </w:r>
    </w:p>
    <w:p>
      <w:pPr>
        <w:pStyle w:val="ListBullet"/>
        <w:spacing w:after="40"/>
      </w:pPr>
      <w:r>
        <w:t>人工调整 MCP 必须双人审批。</w:t>
      </w:r>
    </w:p>
    <w:p>
      <w:pPr>
        <w:pStyle w:val="Heading2"/>
        <w:keepNext/>
      </w:pPr>
      <w:r>
        <w:t>10.2 MCP Ledger 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835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6236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Recharge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Payment Gateway 或人工确认充值。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Transaction Deduction</w:t>
            </w:r>
          </w:p>
        </w:tc>
        <w:tc>
          <w:tcPr>
            <w:tcW w:type="dxa" w:w="6236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交易按服务费比例扣除 MCP。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Advertising Deduction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广告审核通过并达到扣费条件后扣除。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Manual Credit</w:t>
            </w:r>
          </w:p>
        </w:tc>
        <w:tc>
          <w:tcPr>
            <w:tcW w:type="dxa" w:w="6236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人工增加，必须双人审批。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Manual Debit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人工扣减，必须双人审批。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Refund</w:t>
            </w:r>
          </w:p>
        </w:tc>
        <w:tc>
          <w:tcPr>
            <w:tcW w:type="dxa" w:w="6236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退款批准后返还或扣回。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Freeze / Unfreeze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冻结或解冻可用额度。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Reversal</w:t>
            </w:r>
          </w:p>
        </w:tc>
        <w:tc>
          <w:tcPr>
            <w:tcW w:type="dxa" w:w="6236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对错误或争议记录进行冲正，不删除原记录。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10.3 人工 MCP 调整流程</w:t>
      </w:r>
    </w:p>
    <w:p>
      <w:pPr>
        <w:pStyle w:val="Heading3"/>
        <w:keepNext/>
      </w:pPr>
      <w:r>
        <w:t>双人审批流程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Maker 提交</w:t>
            </w:r>
          </w:p>
        </w:tc>
        <w:tc>
          <w:tcPr>
            <w:tcW w:type="dxa" w:w="1425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填写原因/附件</w:t>
            </w:r>
          </w:p>
        </w:tc>
        <w:tc>
          <w:tcPr>
            <w:tcW w:type="dxa" w:w="1425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Pending Approval</w:t>
            </w:r>
          </w:p>
        </w:tc>
        <w:tc>
          <w:tcPr>
            <w:tcW w:type="dxa" w:w="1425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Checker 审批</w:t>
            </w:r>
          </w:p>
        </w:tc>
        <w:tc>
          <w:tcPr>
            <w:tcW w:type="dxa" w:w="1425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生成 Ledger</w:t>
            </w:r>
          </w:p>
        </w:tc>
        <w:tc>
          <w:tcPr>
            <w:tcW w:type="dxa" w:w="1425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更新余额</w:t>
            </w:r>
          </w:p>
        </w:tc>
        <w:tc>
          <w:tcPr>
            <w:tcW w:type="dxa" w:w="1425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通知与审计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Maker 与 Checker 不得为同一管理员。</w:t>
      </w:r>
    </w:p>
    <w:p>
      <w:pPr>
        <w:pStyle w:val="ListBullet"/>
        <w:spacing w:after="40"/>
      </w:pPr>
      <w:r>
        <w:t>审批前显示原余额、调整额、预计新余额和关联对象。</w:t>
      </w:r>
    </w:p>
    <w:p>
      <w:pPr>
        <w:pStyle w:val="ListBullet"/>
        <w:spacing w:after="40"/>
      </w:pPr>
      <w:r>
        <w:t>拒绝必须填写原因。</w:t>
      </w:r>
    </w:p>
    <w:p>
      <w:pPr>
        <w:pStyle w:val="ListBullet"/>
        <w:spacing w:after="40"/>
      </w:pPr>
      <w:r>
        <w:t>已批准记录不可删除；错误只能通过 Reversal 处理。</w:t>
      </w:r>
    </w:p>
    <w:p>
      <w:pPr>
        <w:pStyle w:val="Heading2"/>
        <w:keepNext/>
      </w:pPr>
      <w:r>
        <w:t>10.4 MCP 风控</w:t>
      </w:r>
    </w:p>
    <w:p>
      <w:pPr>
        <w:pStyle w:val="ListBullet"/>
        <w:spacing w:after="40"/>
      </w:pPr>
      <w:r>
        <w:t>禁止出现未经允许的负余额。</w:t>
      </w:r>
    </w:p>
    <w:p>
      <w:pPr>
        <w:pStyle w:val="ListBullet"/>
        <w:spacing w:after="40"/>
      </w:pPr>
      <w:r>
        <w:t>充值与 Payment Gateway 回调必须防重复。</w:t>
      </w:r>
    </w:p>
    <w:p>
      <w:pPr>
        <w:pStyle w:val="ListBullet"/>
        <w:spacing w:after="40"/>
      </w:pPr>
      <w:r>
        <w:t>交易扣减必须幂等。</w:t>
      </w:r>
    </w:p>
    <w:p>
      <w:pPr>
        <w:pStyle w:val="ListBullet"/>
        <w:spacing w:after="40"/>
      </w:pPr>
      <w:r>
        <w:t>大额或频繁人工调整产生风险警报。</w:t>
      </w:r>
    </w:p>
    <w:p>
      <w:pPr>
        <w:pStyle w:val="ListBullet"/>
        <w:spacing w:after="40"/>
      </w:pPr>
      <w:r>
        <w:t>MCP 对账任务每日运行并报告差异。</w:t>
      </w:r>
    </w:p>
    <w:p>
      <w:pPr>
        <w:pStyle w:val="Heading1"/>
        <w:keepNext/>
      </w:pPr>
      <w:r>
        <w:t>11. 交易中心</w:t>
      </w:r>
    </w:p>
    <w:p>
      <w:pPr>
        <w:pStyle w:val="Heading2"/>
        <w:keepNext/>
      </w:pPr>
      <w:r>
        <w:t>11.1 交易数据要求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6803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关键内容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身份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Transaction ID、Receipt ID、Member ID、Merchant ID、Market ID。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金额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消费金额、货币、服务费比例、平台服务费、MCP 扣除。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规则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Package ID、Package Version、Reward Rule Version、Commission Rule Version。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状态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交易状态、风险状态、争议状态、完成时间。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来源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PWA、Web、Bridge、POS、Offline Sync 等。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审计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创建人、确认人、IP、设备、请求幂等键。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交易状态</w:t>
      </w:r>
    </w:p>
    <w:p>
      <w:pPr>
        <w:pStyle w:val="Heading3"/>
        <w:keepNext/>
      </w:pPr>
      <w:r>
        <w:t>交易状态流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1662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Created</w:t>
            </w:r>
          </w:p>
        </w:tc>
        <w:tc>
          <w:tcPr>
            <w:tcW w:type="dxa" w:w="1662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Confirmed</w:t>
            </w:r>
          </w:p>
        </w:tc>
        <w:tc>
          <w:tcPr>
            <w:tcW w:type="dxa" w:w="1662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Processing</w:t>
            </w:r>
          </w:p>
        </w:tc>
        <w:tc>
          <w:tcPr>
            <w:tcW w:type="dxa" w:w="1662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Completed</w:t>
            </w:r>
          </w:p>
        </w:tc>
        <w:tc>
          <w:tcPr>
            <w:tcW w:type="dxa" w:w="1662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Disputed / Frozen</w:t>
            </w:r>
          </w:p>
        </w:tc>
        <w:tc>
          <w:tcPr>
            <w:tcW w:type="dxa" w:w="1662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Reversed / Cancelled</w:t>
            </w:r>
          </w:p>
        </w:tc>
      </w:tr>
    </w:tbl>
    <w:p>
      <w:pPr>
        <w:spacing w:after="20"/>
      </w:pPr>
    </w:p>
    <w:p>
      <w:r>
        <w:t>商家端确认后不可自行撤销，但后台必须具备冻结、争议、冲正与风险取消能力。所有冲正都必须保留原交易，并生成关联 Reversal Transaction。</w:t>
      </w:r>
    </w:p>
    <w:p>
      <w:pPr>
        <w:pStyle w:val="Heading2"/>
        <w:keepNext/>
      </w:pPr>
      <w:r>
        <w:t>11.3 交易一致性</w:t>
      </w:r>
    </w:p>
    <w:p>
      <w:pPr>
        <w:pStyle w:val="ListBullet"/>
        <w:spacing w:after="40"/>
      </w:pPr>
      <w:r>
        <w:t>确认交易、扣除 MCP、建立 Reward Plan、建立佣金记录必须在同一可靠事务边界内完成。</w:t>
      </w:r>
    </w:p>
    <w:p>
      <w:pPr>
        <w:pStyle w:val="ListBullet"/>
        <w:spacing w:after="40"/>
      </w:pPr>
      <w:r>
        <w:t>使用 Idempotency Key 防止重复提交。</w:t>
      </w:r>
    </w:p>
    <w:p>
      <w:pPr>
        <w:pStyle w:val="ListBullet"/>
        <w:spacing w:after="40"/>
      </w:pPr>
      <w:r>
        <w:t>Receipt 有效期与重复检查由后台服务强制执行。</w:t>
      </w:r>
    </w:p>
    <w:p>
      <w:pPr>
        <w:pStyle w:val="ListBullet"/>
        <w:spacing w:after="40"/>
      </w:pPr>
      <w:r>
        <w:t>离线同步必须保存原始发生时间与同步时间，并进行冲突检测。</w:t>
      </w:r>
    </w:p>
    <w:p>
      <w:pPr>
        <w:pStyle w:val="Heading1"/>
        <w:keepNext/>
      </w:pPr>
      <w:r>
        <w:t>12. ipoint 钱包与每日回馈引擎</w:t>
      </w:r>
    </w:p>
    <w:p>
      <w:pPr>
        <w:pStyle w:val="Heading2"/>
        <w:keepNext/>
      </w:pPr>
      <w:r>
        <w:t>12.1 Wallet Ledger</w:t>
      </w:r>
    </w:p>
    <w:p>
      <w:r>
        <w:t>每个市场钱包独立记账。不得只保存一个全球总余额。Wallet Ledger 是点数事实来源，所有发放、兑换、人工调整、退回和冲正都必须形成记录。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835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Ledger 类型</w:t>
            </w:r>
          </w:p>
        </w:tc>
        <w:tc>
          <w:tcPr>
            <w:tcW w:type="dxa" w:w="6236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Daily Reward Credit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每日 00:00 回馈发放。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Redemption Debit</w:t>
            </w:r>
          </w:p>
        </w:tc>
        <w:tc>
          <w:tcPr>
            <w:tcW w:type="dxa" w:w="6236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兑换订单锁定或确认扣除。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Redemption Refund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兑换取消或失败后退回。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Manual Credit</w:t>
            </w:r>
          </w:p>
        </w:tc>
        <w:tc>
          <w:tcPr>
            <w:tcW w:type="dxa" w:w="6236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人工增加，双人审批。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Manual Debit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人工扣减，双人审批。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Reversal</w:t>
            </w:r>
          </w:p>
        </w:tc>
        <w:tc>
          <w:tcPr>
            <w:tcW w:type="dxa" w:w="6236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冲正错误记录。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Freeze / Unfreeze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冻结或解冻点数。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Reward Plan</w:t>
      </w:r>
    </w:p>
    <w:p>
      <w:pPr>
        <w:pStyle w:val="ListBullet"/>
        <w:spacing w:after="40"/>
      </w:pPr>
      <w:r>
        <w:t>每笔符合条件的消费建立独立 Reward Plan。</w:t>
      </w:r>
    </w:p>
    <w:p>
      <w:pPr>
        <w:pStyle w:val="ListBullet"/>
        <w:spacing w:after="40"/>
      </w:pPr>
      <w:r>
        <w:t>保存原交易、消费市场、消费金额、回馈上限、已发放、剩余可发、开始日期与状态。</w:t>
      </w:r>
    </w:p>
    <w:p>
      <w:pPr>
        <w:pStyle w:val="ListBullet"/>
        <w:spacing w:after="40"/>
      </w:pPr>
      <w:r>
        <w:t>每日不永久保存消费当天回馈率，而是在每次发放时读取当日有效规则。</w:t>
      </w:r>
    </w:p>
    <w:p>
      <w:pPr>
        <w:pStyle w:val="ListBullet"/>
        <w:spacing w:after="40"/>
      </w:pPr>
      <w:r>
        <w:t>每次发放记录使用的 Rule Version，确保未来可重算与审计。</w:t>
      </w:r>
    </w:p>
    <w:p>
      <w:pPr>
        <w:pStyle w:val="Heading2"/>
        <w:keepNext/>
      </w:pPr>
      <w:r>
        <w:t>12.3 每日 00:00 Job</w:t>
      </w:r>
    </w:p>
    <w:p>
      <w:pPr>
        <w:pStyle w:val="ListNumber"/>
        <w:spacing w:after="40"/>
      </w:pPr>
      <w:r>
        <w:t>按市场时区触发对应市场 Reward Job。</w:t>
      </w:r>
    </w:p>
    <w:p>
      <w:pPr>
        <w:pStyle w:val="ListNumber"/>
        <w:spacing w:after="40"/>
      </w:pPr>
      <w:r>
        <w:t>锁定本次 Job Run，防止同一市场同一天重复执行。</w:t>
      </w:r>
    </w:p>
    <w:p>
      <w:pPr>
        <w:pStyle w:val="ListNumber"/>
        <w:spacing w:after="40"/>
      </w:pPr>
      <w:r>
        <w:t>读取该时点有效回馈规则。</w:t>
      </w:r>
    </w:p>
    <w:p>
      <w:pPr>
        <w:pStyle w:val="ListNumber"/>
        <w:spacing w:after="40"/>
      </w:pPr>
      <w:r>
        <w:t>批次查询 Active Reward Plans。</w:t>
      </w:r>
    </w:p>
    <w:p>
      <w:pPr>
        <w:pStyle w:val="ListNumber"/>
        <w:spacing w:after="40"/>
      </w:pPr>
      <w:r>
        <w:t>逐笔计算当日应发点数，并限制不得超过剩余上限。</w:t>
      </w:r>
    </w:p>
    <w:p>
      <w:pPr>
        <w:pStyle w:val="ListNumber"/>
        <w:spacing w:after="40"/>
      </w:pPr>
      <w:r>
        <w:t>写入 Wallet Ledger，更新 Reward Plan 进度。</w:t>
      </w:r>
    </w:p>
    <w:p>
      <w:pPr>
        <w:pStyle w:val="ListNumber"/>
        <w:spacing w:after="40"/>
      </w:pPr>
      <w:r>
        <w:t>记录成功、跳过、失败与错误原因。</w:t>
      </w:r>
    </w:p>
    <w:p>
      <w:pPr>
        <w:pStyle w:val="ListNumber"/>
        <w:spacing w:after="40"/>
      </w:pPr>
      <w:r>
        <w:t>完成后生成 Job Summary 和运营通知。</w:t>
      </w:r>
    </w:p>
    <w:p>
      <w:pPr>
        <w:pStyle w:val="Heading2"/>
        <w:keepNext/>
      </w:pPr>
      <w:r>
        <w:t>12.4 失败处理</w:t>
      </w:r>
    </w:p>
    <w:p>
      <w:pPr>
        <w:pStyle w:val="ListBullet"/>
        <w:spacing w:after="40"/>
      </w:pPr>
      <w:r>
        <w:t>单笔失败不得导致整个市场任务全部回滚。</w:t>
      </w:r>
    </w:p>
    <w:p>
      <w:pPr>
        <w:pStyle w:val="ListBullet"/>
        <w:spacing w:after="40"/>
      </w:pPr>
      <w:r>
        <w:t>失败项目进入可重试队列。</w:t>
      </w:r>
    </w:p>
    <w:p>
      <w:pPr>
        <w:pStyle w:val="ListBullet"/>
        <w:spacing w:after="40"/>
      </w:pPr>
      <w:r>
        <w:t>重跑必须幂等，已成功发放不得重复。</w:t>
      </w:r>
    </w:p>
    <w:p>
      <w:pPr>
        <w:pStyle w:val="ListBullet"/>
        <w:spacing w:after="40"/>
      </w:pPr>
      <w:r>
        <w:t>后台显示 Job Run、Batch、成功数、失败数、金额、耗时和错误详情。</w:t>
      </w:r>
    </w:p>
    <w:p>
      <w:pPr>
        <w:pStyle w:val="ListBullet"/>
        <w:spacing w:after="40"/>
      </w:pPr>
      <w:r>
        <w:t>紧急情况下 Super Admin 可暂停 Reward Job。</w:t>
      </w:r>
    </w:p>
    <w:p>
      <w:pPr>
        <w:pStyle w:val="Heading2"/>
        <w:keepNext/>
      </w:pPr>
      <w:r>
        <w:t>12.5 人工 ipoint 调整</w:t>
      </w:r>
    </w:p>
    <w:p>
      <w:r>
        <w:t>人工增加或扣减会员 ipoint 必须双人审批，流程与 MCP 调整一致。调整记录必须绑定市场钱包、原因、附件、Maker、Checker、原余额与新余额。</w:t>
      </w:r>
    </w:p>
    <w:p>
      <w:pPr>
        <w:pStyle w:val="Heading1"/>
        <w:keepNext/>
      </w:pPr>
      <w:r>
        <w:t>13. 代理与佣金管理</w:t>
      </w:r>
    </w:p>
    <w:p>
      <w:pPr>
        <w:pStyle w:val="Heading2"/>
        <w:keepNext/>
      </w:pPr>
      <w:r>
        <w:t>13.1 代理后台管理</w:t>
      </w:r>
    </w:p>
    <w:p>
      <w:pPr>
        <w:pStyle w:val="ListBullet"/>
        <w:spacing w:after="40"/>
      </w:pPr>
      <w:r>
        <w:t>代理申请、缴费、KYC、课程、考核、物料发放与激活 Checklist。</w:t>
      </w:r>
    </w:p>
    <w:p>
      <w:pPr>
        <w:pStyle w:val="ListBullet"/>
        <w:spacing w:after="40"/>
      </w:pPr>
      <w:r>
        <w:t>代理状态包括 Pending、Active、Suspended、Terminated。</w:t>
      </w:r>
    </w:p>
    <w:p>
      <w:pPr>
        <w:pStyle w:val="ListBullet"/>
        <w:spacing w:after="40"/>
      </w:pPr>
      <w:r>
        <w:t>后台查看推荐会员、推荐商家、团队树、等级和佣金资格。</w:t>
      </w:r>
    </w:p>
    <w:p>
      <w:pPr>
        <w:pStyle w:val="ListBullet"/>
        <w:spacing w:after="40"/>
      </w:pPr>
      <w:r>
        <w:t>代理关系或归属修改仅限最高权限，并完整记录影响与原因。</w:t>
      </w:r>
    </w:p>
    <w:p>
      <w:pPr>
        <w:pStyle w:val="Heading2"/>
        <w:keepNext/>
      </w:pPr>
      <w:r>
        <w:t>13.2 佣金类型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835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969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当前基线</w:t>
            </w:r>
          </w:p>
        </w:tc>
        <w:tc>
          <w:tcPr>
            <w:tcW w:type="dxa" w:w="1701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可调整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会员消费第一代佣金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sz w:val="17"/>
              </w:rPr>
              <w:t>平台实际收到商家服务费 × 1%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会员消费第二代佣金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平台实际收到商家服务费 × 0.5%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推荐商家佣金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sz w:val="17"/>
              </w:rPr>
              <w:t>平台实际收到商家服务费 × 0.5%，一代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代理升级第一代佣金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RM88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代理升级第二代佣金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sz w:val="17"/>
              </w:rPr>
              <w:t>RM38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团队业绩奖励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规则仍需最终商业确认</w:t>
            </w:r>
          </w:p>
        </w:tc>
        <w:tc>
          <w:tcPr>
            <w:tcW w:type="dxa" w:w="1701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预留规则能力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13.3 佣金状态</w:t>
      </w:r>
    </w:p>
    <w:p>
      <w:pPr>
        <w:pStyle w:val="Heading3"/>
        <w:keepNext/>
      </w:pPr>
      <w:r>
        <w:t>佣金状态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Pending</w:t>
            </w:r>
          </w:p>
        </w:tc>
        <w:tc>
          <w:tcPr>
            <w:tcW w:type="dxa" w:w="1994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Qualified</w:t>
            </w:r>
          </w:p>
        </w:tc>
        <w:tc>
          <w:tcPr>
            <w:tcW w:type="dxa" w:w="1994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Paid</w:t>
            </w:r>
          </w:p>
        </w:tc>
        <w:tc>
          <w:tcPr>
            <w:tcW w:type="dxa" w:w="1994"/>
            <w:shd w:fill="ECFEFF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Cancelled</w:t>
            </w:r>
          </w:p>
        </w:tc>
        <w:tc>
          <w:tcPr>
            <w:tcW w:type="dxa" w:w="1994"/>
            <w:shd w:fill="F0FDFA"/>
            <w:tcBorders>
              <w:top w:val="single" w:sz="8" w:color="14B8A6"/>
              <w:left w:val="single" w:sz="8" w:color="14B8A6"/>
              <w:bottom w:val="single" w:sz="8" w:color="14B8A6"/>
              <w:right w:val="single" w:sz="8" w:color="14B8A6"/>
            </w:tcBorders>
          </w:tcPr>
          <w:p>
            <w:pPr>
              <w:jc w:val="center"/>
            </w:pPr>
            <w:r>
              <w:rPr>
                <w:b/>
              </w:rPr>
              <w:t>Frozen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13.4 佣金计算与追溯</w:t>
      </w:r>
    </w:p>
    <w:p>
      <w:pPr>
        <w:pStyle w:val="ListBullet"/>
        <w:spacing w:after="40"/>
      </w:pPr>
      <w:r>
        <w:t>佣金基础为平台实际收到的商家服务费，不直接以会员消费总额计算。</w:t>
      </w:r>
    </w:p>
    <w:p>
      <w:pPr>
        <w:pStyle w:val="ListBullet"/>
        <w:spacing w:after="40"/>
      </w:pPr>
      <w:r>
        <w:t>佣金记录保存来源交易、服务费、代数、推荐关系、规则版本与计算明细。</w:t>
      </w:r>
    </w:p>
    <w:p>
      <w:pPr>
        <w:pStyle w:val="ListBullet"/>
        <w:spacing w:after="40"/>
      </w:pPr>
      <w:r>
        <w:t>规则在原始业务发生时锁定。</w:t>
      </w:r>
    </w:p>
    <w:p>
      <w:pPr>
        <w:pStyle w:val="ListBullet"/>
        <w:spacing w:after="40"/>
      </w:pPr>
      <w:r>
        <w:t>退款、争议、刷单或资格问题可将佣金 Frozen 或 Cancelled。</w:t>
      </w:r>
    </w:p>
    <w:p>
      <w:pPr>
        <w:pStyle w:val="ListBullet"/>
        <w:spacing w:after="40"/>
      </w:pPr>
      <w:r>
        <w:t>V1 支持人工审核、结算批次、付款参考编号和导出，不强制自动提现。</w:t>
      </w:r>
    </w:p>
    <w:p>
      <w:pPr>
        <w:pStyle w:val="Heading1"/>
        <w:keepNext/>
      </w:pPr>
      <w:r>
        <w:t>14. 广告、兑换、内容与通知</w:t>
      </w:r>
    </w:p>
    <w:p>
      <w:pPr>
        <w:pStyle w:val="Heading2"/>
        <w:keepNext/>
      </w:pPr>
      <w:r>
        <w:t>14.1 广告管理</w:t>
      </w:r>
    </w:p>
    <w:p>
      <w:pPr>
        <w:pStyle w:val="ListBullet"/>
        <w:spacing w:after="40"/>
      </w:pPr>
      <w:r>
        <w:t>广告申请、素材预览、市场、位置、排期、费用、审核、上架、下架和到期。</w:t>
      </w:r>
    </w:p>
    <w:p>
      <w:pPr>
        <w:pStyle w:val="ListBullet"/>
        <w:spacing w:after="40"/>
      </w:pPr>
      <w:r>
        <w:t>每则广告必须审核。</w:t>
      </w:r>
    </w:p>
    <w:p>
      <w:pPr>
        <w:pStyle w:val="ListBullet"/>
        <w:spacing w:after="40"/>
      </w:pPr>
      <w:r>
        <w:t>MCP 扣费时点必须明确并记录 Ledger。</w:t>
      </w:r>
    </w:p>
    <w:p>
      <w:pPr>
        <w:pStyle w:val="ListBullet"/>
        <w:spacing w:after="40"/>
      </w:pPr>
      <w:r>
        <w:t>V1 只做基础曝光和点击统计，不做复杂竞价。</w:t>
      </w:r>
    </w:p>
    <w:p>
      <w:pPr>
        <w:pStyle w:val="Heading2"/>
        <w:keepNext/>
      </w:pPr>
      <w:r>
        <w:t>14.2 兑换中心</w:t>
      </w:r>
    </w:p>
    <w:p>
      <w:pPr>
        <w:pStyle w:val="ListBullet"/>
        <w:spacing w:after="40"/>
      </w:pPr>
      <w:r>
        <w:t>商品、市场、库存、所需 ipoint、兑换期限、条款、上架与下架。</w:t>
      </w:r>
    </w:p>
    <w:p>
      <w:pPr>
        <w:pStyle w:val="ListBullet"/>
        <w:spacing w:after="40"/>
      </w:pPr>
      <w:r>
        <w:t>订单状态：Pending、Approved、Processing、Shipped、Completed、Rejected、Cancelled、Refunded。</w:t>
      </w:r>
    </w:p>
    <w:p>
      <w:pPr>
        <w:pStyle w:val="ListBullet"/>
        <w:spacing w:after="40"/>
      </w:pPr>
      <w:r>
        <w:t>提交订单时锁定兑换率、商品点数和规则版本。</w:t>
      </w:r>
    </w:p>
    <w:p>
      <w:pPr>
        <w:pStyle w:val="ListBullet"/>
        <w:spacing w:after="40"/>
      </w:pPr>
      <w:r>
        <w:t>取消或失败后的退点必须通过 Wallet Ledger。</w:t>
      </w:r>
    </w:p>
    <w:p>
      <w:pPr>
        <w:pStyle w:val="Heading2"/>
        <w:keepNext/>
      </w:pPr>
      <w:r>
        <w:t>14.3 内容管理</w:t>
      </w:r>
    </w:p>
    <w:p>
      <w:pPr>
        <w:pStyle w:val="ListBullet"/>
        <w:spacing w:after="40"/>
      </w:pPr>
      <w:r>
        <w:t>Banner、公告、FAQ、条款、隐私政策、免责声明、分类及未来 News / Events / Coupon。</w:t>
      </w:r>
    </w:p>
    <w:p>
      <w:pPr>
        <w:pStyle w:val="ListBullet"/>
        <w:spacing w:after="40"/>
      </w:pPr>
      <w:r>
        <w:t>支持多语言、多市场、Draft、Preview、Publish、Schedule、Unpublish 和版本历史。</w:t>
      </w:r>
    </w:p>
    <w:p>
      <w:pPr>
        <w:pStyle w:val="ListBullet"/>
        <w:spacing w:after="40"/>
      </w:pPr>
      <w:r>
        <w:t>条款必须记录版本；会员或商家同意记录应包含时间、IP、设备和 Locale。</w:t>
      </w:r>
    </w:p>
    <w:p>
      <w:pPr>
        <w:pStyle w:val="Heading2"/>
        <w:keepNext/>
      </w:pPr>
      <w:r>
        <w:t>14.4 通知中心</w:t>
      </w:r>
    </w:p>
    <w:p>
      <w:pPr>
        <w:pStyle w:val="ListBullet"/>
        <w:spacing w:after="40"/>
      </w:pPr>
      <w:r>
        <w:t>统一支持 Email、Push、In-App；SMS 作为后期通道。</w:t>
      </w:r>
    </w:p>
    <w:p>
      <w:pPr>
        <w:pStyle w:val="ListBullet"/>
        <w:spacing w:after="40"/>
      </w:pPr>
      <w:r>
        <w:t>通知模板按市场、语言、角色和事件管理。</w:t>
      </w:r>
    </w:p>
    <w:p>
      <w:pPr>
        <w:pStyle w:val="ListBullet"/>
        <w:spacing w:after="40"/>
      </w:pPr>
      <w:r>
        <w:t>保存发送状态、失败原因、重试次数和最终结果。</w:t>
      </w:r>
    </w:p>
    <w:p>
      <w:pPr>
        <w:pStyle w:val="ListBullet"/>
        <w:spacing w:after="40"/>
      </w:pPr>
      <w:r>
        <w:t>重要事件包括 KYC、MCP、回馈、佣金、广告、兑换、冻结和系统异常。</w:t>
      </w:r>
    </w:p>
    <w:p>
      <w:pPr>
        <w:pStyle w:val="Heading1"/>
        <w:keepNext/>
      </w:pPr>
      <w:r>
        <w:t>15. 工单、风控与运营时间轴</w:t>
      </w:r>
    </w:p>
    <w:p>
      <w:pPr>
        <w:pStyle w:val="Heading2"/>
        <w:keepNext/>
      </w:pPr>
      <w:r>
        <w:t>15.1 Support Ticket</w:t>
      </w:r>
    </w:p>
    <w:p>
      <w:pPr>
        <w:pStyle w:val="ListBullet"/>
        <w:spacing w:after="40"/>
      </w:pPr>
      <w:r>
        <w:t>工单可关联会员、商家、交易、MCP、钱包、佣金、兑换和广告。</w:t>
      </w:r>
    </w:p>
    <w:p>
      <w:pPr>
        <w:pStyle w:val="ListBullet"/>
        <w:spacing w:after="40"/>
      </w:pPr>
      <w:r>
        <w:t>支持类型、优先级、负责人、状态、内部备注、附件、处理结果和 SLA。</w:t>
      </w:r>
    </w:p>
    <w:p>
      <w:pPr>
        <w:pStyle w:val="ListBullet"/>
        <w:spacing w:after="40"/>
      </w:pPr>
      <w:r>
        <w:t>客服角色可以查询和处理工单，但默认不可修改资产。</w:t>
      </w:r>
    </w:p>
    <w:p>
      <w:pPr>
        <w:pStyle w:val="Heading2"/>
        <w:keepNext/>
      </w:pPr>
      <w:r>
        <w:t>15.2 Risk Control</w:t>
      </w:r>
    </w:p>
    <w:p>
      <w:pPr>
        <w:pStyle w:val="ListBullet"/>
        <w:spacing w:after="40"/>
      </w:pPr>
      <w:r>
        <w:t>会员、商家、交易、佣金和钱包均可标记风险状态。</w:t>
      </w:r>
    </w:p>
    <w:p>
      <w:pPr>
        <w:pStyle w:val="ListBullet"/>
        <w:spacing w:after="40"/>
      </w:pPr>
      <w:r>
        <w:t>支持冻结、解冻、争议、观察名单和风险备注。</w:t>
      </w:r>
    </w:p>
    <w:p>
      <w:pPr>
        <w:pStyle w:val="ListBullet"/>
        <w:spacing w:after="40"/>
      </w:pPr>
      <w:r>
        <w:t>高频调整、重复交易、异常设备、异常地点和账本差异可产生风险警报。</w:t>
      </w:r>
    </w:p>
    <w:p>
      <w:pPr>
        <w:pStyle w:val="ListBullet"/>
        <w:spacing w:after="40"/>
      </w:pPr>
      <w:r>
        <w:t>V1 先采用规则式风险提示，不开发 AI 风控。</w:t>
      </w:r>
    </w:p>
    <w:p>
      <w:pPr>
        <w:pStyle w:val="Heading2"/>
        <w:keepNext/>
      </w:pPr>
      <w:r>
        <w:t>15.3 Operation Timeline</w:t>
      </w:r>
    </w:p>
    <w:p>
      <w:r>
        <w:t>每个关键对象必须有统一时间轴，用于回答“这个对象发生过什么”。Timeline 记录业务事件，Audit Log 记录管理员操作；两者相关但用途不同。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Timeline 示例</w:t>
            </w:r>
          </w:p>
        </w:tc>
        <w:tc>
          <w:tcPr>
            <w:tcW w:type="dxa" w:w="6803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事件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会员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注册、KYC、消费、回馈、兑换、升级代理、冻结、恢复。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商家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申请、审核、激活、充值、交易、广告、退款、Suspend、恢复。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交易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创建、确认、扣 MCP、Reward Plan、佣金、争议、冲正。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规则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创建版本、排期、生效、过期、取消。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系统任务、健康状态与紧急控制</w:t>
      </w:r>
    </w:p>
    <w:p>
      <w:pPr>
        <w:pStyle w:val="Heading2"/>
        <w:keepNext/>
      </w:pPr>
      <w:r>
        <w:t>16.1 Scheduled Jobs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835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频率/触发</w:t>
            </w:r>
          </w:p>
        </w:tc>
        <w:tc>
          <w:tcPr>
            <w:tcW w:type="dxa" w:w="3969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后台能力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Reward Job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各市场每日 00:00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sz w:val="17"/>
              </w:rPr>
              <w:t>查看、暂停、重跑、明细、失败处理。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Commission Calculation</w:t>
            </w:r>
          </w:p>
        </w:tc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交易或批次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查看计算与失败记录。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Advertisement Scheduler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按开始/结束时间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sz w:val="17"/>
              </w:rPr>
              <w:t>自动上下架与异常提醒。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MCP Reconciliation</w:t>
            </w:r>
          </w:p>
        </w:tc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每日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账本、余额和支付差异检查。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Redemption Sync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事件/定时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sz w:val="17"/>
              </w:rPr>
              <w:t>库存、订单和退点检查。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Notification Retry</w:t>
            </w:r>
          </w:p>
        </w:tc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持续/批次</w:t>
            </w:r>
          </w:p>
        </w:tc>
        <w:tc>
          <w:tcPr>
            <w:tcW w:type="dxa" w:w="3969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失败通道重试。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16.2 系统健康状态</w:t>
      </w:r>
    </w:p>
    <w:p>
      <w:pPr>
        <w:pStyle w:val="ListBullet"/>
        <w:spacing w:after="40"/>
      </w:pPr>
      <w:r>
        <w:t>API、Database、Redis、Queue、Object Storage、Payment Gateway、Notification、Reward Job。</w:t>
      </w:r>
    </w:p>
    <w:p>
      <w:pPr>
        <w:pStyle w:val="ListBullet"/>
        <w:spacing w:after="40"/>
      </w:pPr>
      <w:r>
        <w:t>Dashboard 显示 Normal、Degraded、Failed。</w:t>
      </w:r>
    </w:p>
    <w:p>
      <w:pPr>
        <w:pStyle w:val="ListBullet"/>
        <w:spacing w:after="40"/>
      </w:pPr>
      <w:r>
        <w:t>详细监控包含延迟、错误率、队列积压、任务耗时和最近故障。</w:t>
      </w:r>
    </w:p>
    <w:p>
      <w:pPr>
        <w:pStyle w:val="Heading2"/>
        <w:keepNext/>
      </w:pPr>
      <w:r>
        <w:t>16.3 Emergency Mode</w:t>
      </w:r>
    </w:p>
    <w:p>
      <w:pPr>
        <w:pStyle w:val="ListBullet"/>
        <w:spacing w:after="40"/>
      </w:pPr>
      <w:r>
        <w:t>Super Admin 可单独暂停 Reward Job、Commission Job、Redemption、Merchant Transaction 或 Notification。</w:t>
      </w:r>
    </w:p>
    <w:p>
      <w:pPr>
        <w:pStyle w:val="ListBullet"/>
        <w:spacing w:after="40"/>
      </w:pPr>
      <w:r>
        <w:t>暂停必须填写原因、有效期和恢复条件。</w:t>
      </w:r>
    </w:p>
    <w:p>
      <w:pPr>
        <w:pStyle w:val="ListBullet"/>
        <w:spacing w:after="40"/>
      </w:pPr>
      <w:r>
        <w:t>所有紧急开关写入 Audit Log，并通知指定负责人。</w:t>
      </w:r>
    </w:p>
    <w:p>
      <w:pPr>
        <w:pStyle w:val="Heading2"/>
        <w:keepNext/>
      </w:pPr>
      <w:r>
        <w:t>16.4 Feature Flags</w:t>
      </w:r>
    </w:p>
    <w:p>
      <w:r>
        <w:t>未来模块如 Coupon、Lottery、IPO、Loan 可通过 Feature Flag 按市场开启或关闭，避免为未启用功能反复部署。V1 建立基础能力即可。</w:t>
      </w:r>
    </w:p>
    <w:p>
      <w:pPr>
        <w:pStyle w:val="Heading1"/>
        <w:keepNext/>
      </w:pPr>
      <w:r>
        <w:t>17. 数据架构与关键实体</w:t>
      </w:r>
    </w:p>
    <w:p>
      <w:pPr>
        <w:pStyle w:val="Heading2"/>
        <w:keepNext/>
      </w:pPr>
      <w:r>
        <w:t>17.1 核心实体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551"/>
            <w:shd w:fill="0F766E"/>
            <w:vAlign w:val="center"/>
          </w:tcPr>
          <w:p>
            <w:r>
              <w:rPr>
                <w:b/>
                <w:color w:val="FFFFFF"/>
                <w:sz w:val="15"/>
              </w:rPr>
              <w:t>领域</w:t>
            </w:r>
          </w:p>
        </w:tc>
        <w:tc>
          <w:tcPr>
            <w:tcW w:type="dxa" w:w="6520"/>
            <w:shd w:fill="0F766E"/>
            <w:vAlign w:val="center"/>
          </w:tcPr>
          <w:p>
            <w:r>
              <w:rPr>
                <w:b/>
                <w:color w:val="FFFFFF"/>
                <w:sz w:val="15"/>
              </w:rPr>
              <w:t>关键实体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sz w:val="15"/>
              </w:rPr>
              <w:t>Identity &amp; Access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sz w:val="15"/>
              </w:rPr>
              <w:t>AdminUser、Role、Permission、AdminRole、MarketAccess、Session、LoginAudit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8FAFC"/>
          </w:tcPr>
          <w:p>
            <w:pPr>
              <w:spacing w:after="20"/>
            </w:pPr>
            <w:r>
              <w:rPr>
                <w:sz w:val="15"/>
              </w:rPr>
              <w:t>Market</w:t>
            </w:r>
          </w:p>
        </w:tc>
        <w:tc>
          <w:tcPr>
            <w:tcW w:type="dxa" w:w="6520"/>
            <w:vAlign w:val="top"/>
            <w:shd w:fill="F8FAFC"/>
          </w:tcPr>
          <w:p>
            <w:pPr>
              <w:spacing w:after="20"/>
            </w:pPr>
            <w:r>
              <w:rPr>
                <w:sz w:val="15"/>
              </w:rPr>
              <w:t>Market、Currency、Timezone、Locale、MarketSetting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sz w:val="15"/>
              </w:rPr>
              <w:t>Member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sz w:val="15"/>
              </w:rPr>
              <w:t>Member、MemberProfile、KYCApplication、ReferralRelation、MemberStatusHistory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8FAFC"/>
          </w:tcPr>
          <w:p>
            <w:pPr>
              <w:spacing w:after="20"/>
            </w:pPr>
            <w:r>
              <w:rPr>
                <w:sz w:val="15"/>
              </w:rPr>
              <w:t>Merchant</w:t>
            </w:r>
          </w:p>
        </w:tc>
        <w:tc>
          <w:tcPr>
            <w:tcW w:type="dxa" w:w="6520"/>
            <w:vAlign w:val="top"/>
            <w:shd w:fill="F8FAFC"/>
          </w:tcPr>
          <w:p>
            <w:pPr>
              <w:spacing w:after="20"/>
            </w:pPr>
            <w:r>
              <w:rPr>
                <w:sz w:val="15"/>
              </w:rPr>
              <w:t>Merchant、Branch、MerchantKYC、MerchantPackageAssignment、MerchantStatusHistory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sz w:val="15"/>
              </w:rPr>
              <w:t>Rules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sz w:val="15"/>
              </w:rPr>
              <w:t>BusinessRule、RuleVersion、RuleScope、RuleSchedule、RuleAudit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8FAFC"/>
          </w:tcPr>
          <w:p>
            <w:pPr>
              <w:spacing w:after="20"/>
            </w:pPr>
            <w:r>
              <w:rPr>
                <w:sz w:val="15"/>
              </w:rPr>
              <w:t>Transaction</w:t>
            </w:r>
          </w:p>
        </w:tc>
        <w:tc>
          <w:tcPr>
            <w:tcW w:type="dxa" w:w="6520"/>
            <w:vAlign w:val="top"/>
            <w:shd w:fill="F8FAFC"/>
          </w:tcPr>
          <w:p>
            <w:pPr>
              <w:spacing w:after="20"/>
            </w:pPr>
            <w:r>
              <w:rPr>
                <w:sz w:val="15"/>
              </w:rPr>
              <w:t>Transaction、Receipt、TransactionCalculation、TransactionReversal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sz w:val="15"/>
              </w:rPr>
              <w:t>MCP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sz w:val="15"/>
              </w:rPr>
              <w:t>MCPAccount、MCPLedger、MCPAdjustmentRequest、MCPRefund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8FAFC"/>
          </w:tcPr>
          <w:p>
            <w:pPr>
              <w:spacing w:after="20"/>
            </w:pPr>
            <w:r>
              <w:rPr>
                <w:sz w:val="15"/>
              </w:rPr>
              <w:t>Wallet</w:t>
            </w:r>
          </w:p>
        </w:tc>
        <w:tc>
          <w:tcPr>
            <w:tcW w:type="dxa" w:w="6520"/>
            <w:vAlign w:val="top"/>
            <w:shd w:fill="F8FAFC"/>
          </w:tcPr>
          <w:p>
            <w:pPr>
              <w:spacing w:after="20"/>
            </w:pPr>
            <w:r>
              <w:rPr>
                <w:sz w:val="15"/>
              </w:rPr>
              <w:t>WalletAccount、WalletLedger、RewardPlan、RewardDistribution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sz w:val="15"/>
              </w:rPr>
              <w:t>Agent &amp; Commission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sz w:val="15"/>
              </w:rPr>
              <w:t>Agent、AgentChecklist、Commission、CommissionBatch、CommissionPayment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8FAFC"/>
          </w:tcPr>
          <w:p>
            <w:pPr>
              <w:spacing w:after="20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6520"/>
            <w:vAlign w:val="top"/>
            <w:shd w:fill="F8FAFC"/>
          </w:tcPr>
          <w:p>
            <w:pPr>
              <w:spacing w:after="20"/>
            </w:pPr>
            <w:r>
              <w:rPr>
                <w:sz w:val="15"/>
              </w:rPr>
              <w:t>Advertisement、RedemptionProduct、RedemptionOrder、Notification、SupportTicket、TimelineEvent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sz w:val="15"/>
              </w:rPr>
              <w:t>System</w:t>
            </w:r>
          </w:p>
        </w:tc>
        <w:tc>
          <w:tcPr>
            <w:tcW w:type="dxa" w:w="6520"/>
            <w:vAlign w:val="top"/>
          </w:tcPr>
          <w:p>
            <w:pPr>
              <w:spacing w:after="20"/>
            </w:pPr>
            <w:r>
              <w:rPr>
                <w:sz w:val="15"/>
              </w:rPr>
              <w:t>JobDefinition、JobRun、FeatureFlag、AuditLog、Attachment、RiskAlert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17.2 数据设计原则</w:t>
      </w:r>
    </w:p>
    <w:p>
      <w:pPr>
        <w:pStyle w:val="ListBullet"/>
        <w:spacing w:after="40"/>
      </w:pPr>
      <w:r>
        <w:t>所有核心业务记录必须带 Market ID。</w:t>
      </w:r>
    </w:p>
    <w:p>
      <w:pPr>
        <w:pStyle w:val="ListBullet"/>
        <w:spacing w:after="40"/>
      </w:pPr>
      <w:r>
        <w:t>涉及金额必须保存 Currency Code 和高精度 Decimal，禁止浮点数。</w:t>
      </w:r>
    </w:p>
    <w:p>
      <w:pPr>
        <w:pStyle w:val="ListBullet"/>
        <w:spacing w:after="40"/>
      </w:pPr>
      <w:r>
        <w:t>所有百分比使用高精度 Decimal，并明确单位。</w:t>
      </w:r>
    </w:p>
    <w:p>
      <w:pPr>
        <w:pStyle w:val="ListBullet"/>
        <w:spacing w:after="40"/>
      </w:pPr>
      <w:r>
        <w:t>所有时间保存 UTC，同时保留业务市场时区用于 00:00 计算。</w:t>
      </w:r>
    </w:p>
    <w:p>
      <w:pPr>
        <w:pStyle w:val="ListBullet"/>
        <w:spacing w:after="40"/>
      </w:pPr>
      <w:r>
        <w:t>账本和审计记录采用 Append-Only；禁止物理更新关键历史字段。</w:t>
      </w:r>
    </w:p>
    <w:p>
      <w:pPr>
        <w:pStyle w:val="ListBullet"/>
        <w:spacing w:after="40"/>
      </w:pPr>
      <w:r>
        <w:t>规则记录保存 Version、Effective From、Effective To、Scope 和 Status。</w:t>
      </w:r>
    </w:p>
    <w:p>
      <w:pPr>
        <w:pStyle w:val="ListBullet"/>
        <w:spacing w:after="40"/>
      </w:pPr>
      <w:r>
        <w:t>关键写操作使用 Idempotency Key。</w:t>
      </w:r>
    </w:p>
    <w:p>
      <w:pPr>
        <w:pStyle w:val="ListBullet"/>
        <w:spacing w:after="40"/>
      </w:pPr>
      <w:r>
        <w:t>Soft Delete 通过 archived_at / status 实现。</w:t>
      </w:r>
    </w:p>
    <w:p>
      <w:pPr>
        <w:pStyle w:val="Heading2"/>
        <w:keepNext/>
      </w:pPr>
      <w:r>
        <w:t>17.3 索引与查询</w:t>
      </w:r>
    </w:p>
    <w:p>
      <w:pPr>
        <w:pStyle w:val="ListBullet"/>
        <w:spacing w:after="40"/>
      </w:pPr>
      <w:r>
        <w:t>Member ID、Merchant ID、Transaction ID、Receipt ID 建立唯一索引。</w:t>
      </w:r>
    </w:p>
    <w:p>
      <w:pPr>
        <w:pStyle w:val="ListBullet"/>
        <w:spacing w:after="40"/>
      </w:pPr>
      <w:r>
        <w:t>Market ID + Created At 用于后台列表和报表。</w:t>
      </w:r>
    </w:p>
    <w:p>
      <w:pPr>
        <w:pStyle w:val="ListBullet"/>
        <w:spacing w:after="40"/>
      </w:pPr>
      <w:r>
        <w:t>Ledger 使用 Account ID + Created At + Sequence 索引。</w:t>
      </w:r>
    </w:p>
    <w:p>
      <w:pPr>
        <w:pStyle w:val="ListBullet"/>
        <w:spacing w:after="40"/>
      </w:pPr>
      <w:r>
        <w:t>Rule Scope + Effective Time 用于快速读取有效规则。</w:t>
      </w:r>
    </w:p>
    <w:p>
      <w:pPr>
        <w:pStyle w:val="ListBullet"/>
        <w:spacing w:after="40"/>
      </w:pPr>
      <w:r>
        <w:t>Timeline 与 Audit 按 Entity Type + Entity ID 建立索引。</w:t>
      </w:r>
    </w:p>
    <w:p>
      <w:pPr>
        <w:pStyle w:val="Heading1"/>
        <w:keepNext/>
      </w:pPr>
      <w:r>
        <w:t>18. API 与集成架构</w:t>
      </w:r>
    </w:p>
    <w:p>
      <w:pPr>
        <w:pStyle w:val="Heading2"/>
        <w:keepNext/>
      </w:pPr>
      <w:r>
        <w:t>18.1 API 风格</w:t>
      </w:r>
    </w:p>
    <w:p>
      <w:pPr>
        <w:pStyle w:val="ListBullet"/>
        <w:spacing w:after="40"/>
      </w:pPr>
      <w:r>
        <w:t>V1 使用 REST API。</w:t>
      </w:r>
    </w:p>
    <w:p>
      <w:pPr>
        <w:pStyle w:val="ListBullet"/>
        <w:spacing w:after="40"/>
      </w:pPr>
      <w:r>
        <w:t>后台 API 与前台 API 可共享领域服务，但必须使用独立路由、权限和安全策略。</w:t>
      </w:r>
    </w:p>
    <w:p>
      <w:pPr>
        <w:pStyle w:val="ListBullet"/>
        <w:spacing w:after="40"/>
      </w:pPr>
      <w:r>
        <w:t>所有列表 API 支持分页、筛选、排序与字段选择。</w:t>
      </w:r>
    </w:p>
    <w:p>
      <w:pPr>
        <w:pStyle w:val="ListBullet"/>
        <w:spacing w:after="40"/>
      </w:pPr>
      <w:r>
        <w:t>所有高风险写 API 必须记录 Request ID、Admin ID 和 Audit Context。</w:t>
      </w:r>
    </w:p>
    <w:p>
      <w:pPr>
        <w:pStyle w:val="Heading2"/>
        <w:keepNext/>
      </w:pPr>
      <w:r>
        <w:t>18.2 API 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835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236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示例能力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Auth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登录、2FA、刷新 Token、会话、强制登出。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Admin</w:t>
            </w:r>
          </w:p>
        </w:tc>
        <w:tc>
          <w:tcPr>
            <w:tcW w:type="dxa" w:w="6236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管理员、角色、权限、市场访问。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Members / Merchants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列表、详情、审核、状态、备注、附件。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Rules</w:t>
            </w:r>
          </w:p>
        </w:tc>
        <w:tc>
          <w:tcPr>
            <w:tcW w:type="dxa" w:w="6236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创建版本、模拟、排期、激活、历史查询。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Transactions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查询、冻结、争议、冲正。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MCP / Wallet</w:t>
            </w:r>
          </w:p>
        </w:tc>
        <w:tc>
          <w:tcPr>
            <w:tcW w:type="dxa" w:w="6236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Ledger、余额、调整申请、审批、对账。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Rewards / Commission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计划、发放、计算、批次、结算。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Operations</w:t>
            </w:r>
          </w:p>
        </w:tc>
        <w:tc>
          <w:tcPr>
            <w:tcW w:type="dxa" w:w="6236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广告、兑换、内容、通知、工单、风险。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sz w:val="17"/>
              </w:rPr>
              <w:t>System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sz w:val="17"/>
              </w:rPr>
              <w:t>任务、健康、Feature Flag、Audit、Timeline。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18.3 外部集成</w:t>
      </w:r>
    </w:p>
    <w:p>
      <w:pPr>
        <w:pStyle w:val="ListBullet"/>
        <w:spacing w:after="40"/>
      </w:pPr>
      <w:r>
        <w:t>Payment Gateway：充值、退款、Webhook、对账。</w:t>
      </w:r>
    </w:p>
    <w:p>
      <w:pPr>
        <w:pStyle w:val="ListBullet"/>
        <w:spacing w:after="40"/>
      </w:pPr>
      <w:r>
        <w:t>Email / Push Provider：发送与回执。</w:t>
      </w:r>
    </w:p>
    <w:p>
      <w:pPr>
        <w:pStyle w:val="ListBullet"/>
        <w:spacing w:after="40"/>
      </w:pPr>
      <w:r>
        <w:t>Object Storage：KYC、广告、工单附件。</w:t>
      </w:r>
    </w:p>
    <w:p>
      <w:pPr>
        <w:pStyle w:val="ListBullet"/>
        <w:spacing w:after="40"/>
      </w:pPr>
      <w:r>
        <w:t>POS / Merchant Bridge：交易与 Receipt 数据。</w:t>
      </w:r>
    </w:p>
    <w:p>
      <w:pPr>
        <w:pStyle w:val="ListBullet"/>
        <w:spacing w:after="40"/>
      </w:pPr>
      <w:r>
        <w:t>未来 BI / Data Warehouse：通过事件或只读数据管道接入。</w:t>
      </w:r>
    </w:p>
    <w:p>
      <w:pPr>
        <w:pStyle w:val="Heading2"/>
        <w:keepNext/>
      </w:pPr>
      <w:r>
        <w:t>18.4 Webhook 安全</w:t>
      </w:r>
    </w:p>
    <w:p>
      <w:pPr>
        <w:pStyle w:val="ListBullet"/>
        <w:spacing w:after="40"/>
      </w:pPr>
      <w:r>
        <w:t>签名验证、时间戳、重放保护、来源限制。</w:t>
      </w:r>
    </w:p>
    <w:p>
      <w:pPr>
        <w:pStyle w:val="ListBullet"/>
        <w:spacing w:after="40"/>
      </w:pPr>
      <w:r>
        <w:t>Webhook Event ID 去重。</w:t>
      </w:r>
    </w:p>
    <w:p>
      <w:pPr>
        <w:pStyle w:val="ListBullet"/>
        <w:spacing w:after="40"/>
      </w:pPr>
      <w:r>
        <w:t>失败重试与 Dead Letter Queue。</w:t>
      </w:r>
    </w:p>
    <w:p>
      <w:pPr>
        <w:pStyle w:val="ListBullet"/>
        <w:spacing w:after="40"/>
      </w:pPr>
      <w:r>
        <w:t>原始 Payload 安全保存并限制访问。</w:t>
      </w:r>
    </w:p>
    <w:p>
      <w:pPr>
        <w:pStyle w:val="Heading1"/>
        <w:keepNext/>
      </w:pPr>
      <w:r>
        <w:t>19. 安全、审计与合规设计</w:t>
      </w:r>
    </w:p>
    <w:p>
      <w:pPr>
        <w:pStyle w:val="Heading2"/>
        <w:keepNext/>
      </w:pPr>
      <w:r>
        <w:t>19.1 Audit Log</w:t>
      </w:r>
    </w:p>
    <w:p>
      <w:r>
        <w:t>Audit Log 必须记录谁、何时、从哪里、对什么对象、执行什么操作、修改前后值、原因和结果。规则调整、状态变化、人工资产调整、推荐关系修改和紧急开关均必须记录。</w:t>
      </w:r>
    </w:p>
    <w:p>
      <w:pPr>
        <w:pStyle w:val="Heading2"/>
        <w:keepNext/>
      </w:pPr>
      <w:r>
        <w:t>19.2 数据安全</w:t>
      </w:r>
    </w:p>
    <w:p>
      <w:pPr>
        <w:pStyle w:val="ListBullet"/>
        <w:spacing w:after="40"/>
      </w:pPr>
      <w:r>
        <w:t>密码使用强哈希；Token 和密钥安全存储。</w:t>
      </w:r>
    </w:p>
    <w:p>
      <w:pPr>
        <w:pStyle w:val="ListBullet"/>
        <w:spacing w:after="40"/>
      </w:pPr>
      <w:r>
        <w:t>敏感字段加密，后台显示按权限掩码。</w:t>
      </w:r>
    </w:p>
    <w:p>
      <w:pPr>
        <w:pStyle w:val="ListBullet"/>
        <w:spacing w:after="40"/>
      </w:pPr>
      <w:r>
        <w:t>KYC 文件使用私有对象存储和短时签名 URL。</w:t>
      </w:r>
    </w:p>
    <w:p>
      <w:pPr>
        <w:pStyle w:val="ListBullet"/>
        <w:spacing w:after="40"/>
      </w:pPr>
      <w:r>
        <w:t>导出文件设置访问权限、有效期和操作日志。</w:t>
      </w:r>
    </w:p>
    <w:p>
      <w:pPr>
        <w:pStyle w:val="ListBullet"/>
        <w:spacing w:after="40"/>
      </w:pPr>
      <w:r>
        <w:t>生产数据库禁止普通后台帐号直接访问。</w:t>
      </w:r>
    </w:p>
    <w:p>
      <w:pPr>
        <w:pStyle w:val="Heading2"/>
        <w:keepNext/>
      </w:pPr>
      <w:r>
        <w:t>19.3 合规边界</w:t>
      </w:r>
    </w:p>
    <w:p>
      <w:pPr>
        <w:pStyle w:val="ListBullet"/>
        <w:spacing w:after="40"/>
      </w:pPr>
      <w:r>
        <w:t>积分应定义为消费奖励，不应在后台或对外文案描述为固定收益或投资回报。</w:t>
      </w:r>
    </w:p>
    <w:p>
      <w:pPr>
        <w:pStyle w:val="ListBullet"/>
        <w:spacing w:after="40"/>
      </w:pPr>
      <w:r>
        <w:t>现金券、兑换率、抽奖、电子钱包和跨国结算需各市场法律审查。</w:t>
      </w:r>
    </w:p>
    <w:p>
      <w:pPr>
        <w:pStyle w:val="ListBullet"/>
        <w:spacing w:after="40"/>
      </w:pPr>
      <w:r>
        <w:t>数据导出与数据商业化必须符合隐私授权、用途限制和匿名化要求。</w:t>
      </w:r>
    </w:p>
    <w:p>
      <w:pPr>
        <w:pStyle w:val="ListBullet"/>
        <w:spacing w:after="40"/>
      </w:pPr>
      <w:r>
        <w:t>后台必须支持各市场独立条款、隐私政策、KYC 和数据保留配置。</w:t>
      </w:r>
    </w:p>
    <w:p>
      <w:pPr>
        <w:pStyle w:val="Heading2"/>
        <w:keepNext/>
      </w:pPr>
      <w:r>
        <w:t>19.4 数据保留</w:t>
      </w:r>
    </w:p>
    <w:p>
      <w:pPr>
        <w:pStyle w:val="ListBullet"/>
        <w:spacing w:after="40"/>
      </w:pPr>
      <w:r>
        <w:t>交易、账本、佣金、规则、Audit Log 和 KYC 审核历史不得随帐号归档而删除。</w:t>
      </w:r>
    </w:p>
    <w:p>
      <w:pPr>
        <w:pStyle w:val="ListBullet"/>
        <w:spacing w:after="40"/>
      </w:pPr>
      <w:r>
        <w:t>具体保留年限由各市场法律与财务要求确定。</w:t>
      </w:r>
    </w:p>
    <w:p>
      <w:pPr>
        <w:pStyle w:val="ListBullet"/>
        <w:spacing w:after="40"/>
      </w:pPr>
      <w:r>
        <w:t>删除请求采用去标识化或法定流程，不破坏账本和审计完整性。</w:t>
      </w:r>
    </w:p>
    <w:p>
      <w:pPr>
        <w:pStyle w:val="Heading1"/>
        <w:keepNext/>
      </w:pPr>
      <w:r>
        <w:t>20. 非功能需求与技术栈</w:t>
      </w:r>
    </w:p>
    <w:p>
      <w:pPr>
        <w:pStyle w:val="Heading2"/>
        <w:keepNext/>
      </w:pPr>
      <w:r>
        <w:t>20.1 推荐技术栈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6803"/>
            <w:shd w:fill="0F766E"/>
            <w:vAlign w:val="center"/>
          </w:tcPr>
          <w:p>
            <w:r>
              <w:rPr>
                <w:b/>
                <w:color w:val="FFFFFF"/>
                <w:sz w:val="18"/>
              </w:rPr>
              <w:t>推荐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Admin Frontend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React + TypeScript + Vite + Tailwind CSS + PWA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State / Data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TanStack Query；表单与权限使用模块化方案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Node.js + NestJS，Modular Monolith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Cache / Queue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Redis + Queue Worker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Storage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S3-compatible Object Storage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8"/>
              </w:rPr>
              <w:t>Realtime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8"/>
              </w:rPr>
              <w:t>SSE 或 WebSocket，用于任务与通知状态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8"/>
              </w:rPr>
              <w:t>Structured Logs、Metrics、Tracing、Error Tracking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20.2 性能与可靠性</w:t>
      </w:r>
    </w:p>
    <w:p>
      <w:pPr>
        <w:pStyle w:val="ListBullet"/>
        <w:spacing w:after="40"/>
      </w:pPr>
      <w:r>
        <w:t>后台普通列表请求目标 P95 小于 2 秒，复杂报表采用异步导出。</w:t>
      </w:r>
    </w:p>
    <w:p>
      <w:pPr>
        <w:pStyle w:val="ListBullet"/>
        <w:spacing w:after="40"/>
      </w:pPr>
      <w:r>
        <w:t>核心交易和账本写入必须具备事务性与幂等性。</w:t>
      </w:r>
    </w:p>
    <w:p>
      <w:pPr>
        <w:pStyle w:val="ListBullet"/>
        <w:spacing w:after="40"/>
      </w:pPr>
      <w:r>
        <w:t>Reward Job 支持分批、断点、重试与并行限制。</w:t>
      </w:r>
    </w:p>
    <w:p>
      <w:pPr>
        <w:pStyle w:val="ListBullet"/>
        <w:spacing w:after="40"/>
      </w:pPr>
      <w:r>
        <w:t>系统必须支持数据库备份、恢复演练和灾难恢复计划。</w:t>
      </w:r>
    </w:p>
    <w:p>
      <w:pPr>
        <w:pStyle w:val="ListBullet"/>
        <w:spacing w:after="40"/>
      </w:pPr>
      <w:r>
        <w:t>所有服务使用 Health Check，关键故障产生告警。</w:t>
      </w:r>
    </w:p>
    <w:p>
      <w:pPr>
        <w:pStyle w:val="Heading2"/>
        <w:keepNext/>
      </w:pPr>
      <w:r>
        <w:t>20.3 可维护性</w:t>
      </w:r>
    </w:p>
    <w:p>
      <w:pPr>
        <w:pStyle w:val="ListBullet"/>
        <w:spacing w:after="40"/>
      </w:pPr>
      <w:r>
        <w:t>领域模块边界清晰，禁止跨模块直接修改数据库表。</w:t>
      </w:r>
    </w:p>
    <w:p>
      <w:pPr>
        <w:pStyle w:val="ListBullet"/>
        <w:spacing w:after="40"/>
      </w:pPr>
      <w:r>
        <w:t>统一错误码、状态字典、权限命名与事件命名。</w:t>
      </w:r>
    </w:p>
    <w:p>
      <w:pPr>
        <w:pStyle w:val="ListBullet"/>
        <w:spacing w:after="40"/>
      </w:pPr>
      <w:r>
        <w:t>所有规则计算必须有单元测试和固定样例。</w:t>
      </w:r>
    </w:p>
    <w:p>
      <w:pPr>
        <w:pStyle w:val="ListBullet"/>
        <w:spacing w:after="40"/>
      </w:pPr>
      <w:r>
        <w:t>关键账本、交易和回馈流程必须有集成测试。</w:t>
      </w:r>
    </w:p>
    <w:p>
      <w:pPr>
        <w:pStyle w:val="ListBullet"/>
        <w:spacing w:after="40"/>
      </w:pPr>
      <w:r>
        <w:t>数据库迁移可追踪且可回滚。</w:t>
      </w:r>
    </w:p>
    <w:p>
      <w:pPr>
        <w:pStyle w:val="Heading1"/>
        <w:keepNext/>
      </w:pPr>
      <w:r>
        <w:t>21. V1 范围、阶段与验收标准</w:t>
      </w:r>
    </w:p>
    <w:p>
      <w:pPr>
        <w:pStyle w:val="Heading2"/>
        <w:keepNext/>
      </w:pPr>
      <w:r>
        <w:t>21.1 V1 必须范围</w:t>
      </w:r>
    </w:p>
    <w:p>
      <w:pPr>
        <w:pStyle w:val="ListBullet"/>
        <w:spacing w:after="40"/>
      </w:pPr>
      <w:r>
        <w:t>Admin 登录、2FA、Role、Market Access、Action Permission。</w:t>
      </w:r>
    </w:p>
    <w:p>
      <w:pPr>
        <w:pStyle w:val="ListBullet"/>
        <w:spacing w:after="40"/>
      </w:pPr>
      <w:r>
        <w:t>Dashboard、全局搜索、导出、通知和待办。</w:t>
      </w:r>
    </w:p>
    <w:p>
      <w:pPr>
        <w:pStyle w:val="ListBullet"/>
        <w:spacing w:after="40"/>
      </w:pPr>
      <w:r>
        <w:t>会员与商家后台管理、KYC 和状态控制。</w:t>
      </w:r>
    </w:p>
    <w:p>
      <w:pPr>
        <w:pStyle w:val="ListBullet"/>
        <w:spacing w:after="40"/>
      </w:pPr>
      <w:r>
        <w:t>动态商业规则中心及版本管理。</w:t>
      </w:r>
    </w:p>
    <w:p>
      <w:pPr>
        <w:pStyle w:val="ListBullet"/>
        <w:spacing w:after="40"/>
      </w:pPr>
      <w:r>
        <w:t>MCP Ledger、充值、退款、双人调整与对账。</w:t>
      </w:r>
    </w:p>
    <w:p>
      <w:pPr>
        <w:pStyle w:val="ListBullet"/>
        <w:spacing w:after="40"/>
      </w:pPr>
      <w:r>
        <w:t>交易中心、冻结、争议和冲正。</w:t>
      </w:r>
    </w:p>
    <w:p>
      <w:pPr>
        <w:pStyle w:val="ListBullet"/>
        <w:spacing w:after="40"/>
      </w:pPr>
      <w:r>
        <w:t>Wallet Ledger、Reward Plan、每日 00:00 Reward Job 和失败重跑。</w:t>
      </w:r>
    </w:p>
    <w:p>
      <w:pPr>
        <w:pStyle w:val="ListBullet"/>
        <w:spacing w:after="40"/>
      </w:pPr>
      <w:r>
        <w:t>代理激活、佣金计算、状态、结算批次与导出。</w:t>
      </w:r>
    </w:p>
    <w:p>
      <w:pPr>
        <w:pStyle w:val="ListBullet"/>
        <w:spacing w:after="40"/>
      </w:pPr>
      <w:r>
        <w:t>广告、兑换、内容、公告和通知。</w:t>
      </w:r>
    </w:p>
    <w:p>
      <w:pPr>
        <w:pStyle w:val="ListBullet"/>
        <w:spacing w:after="40"/>
      </w:pPr>
      <w:r>
        <w:t>工单、风险、Timeline、Audit Log。</w:t>
      </w:r>
    </w:p>
    <w:p>
      <w:pPr>
        <w:pStyle w:val="ListBullet"/>
        <w:spacing w:after="40"/>
      </w:pPr>
      <w:r>
        <w:t>System Jobs、Health、Emergency Mode、Feature Flag 基础能力。</w:t>
      </w:r>
    </w:p>
    <w:p>
      <w:pPr>
        <w:pStyle w:val="Heading2"/>
        <w:keepNext/>
      </w:pPr>
      <w:r>
        <w:t>21.2 明确不在 V1</w:t>
      </w:r>
    </w:p>
    <w:p>
      <w:pPr>
        <w:pStyle w:val="ListBullet"/>
        <w:spacing w:after="40"/>
      </w:pPr>
      <w:r>
        <w:t>iOS / Android 后台原生 App。</w:t>
      </w:r>
    </w:p>
    <w:p>
      <w:pPr>
        <w:pStyle w:val="ListBullet"/>
        <w:spacing w:after="40"/>
      </w:pPr>
      <w:r>
        <w:t>复杂微服务拆分。</w:t>
      </w:r>
    </w:p>
    <w:p>
      <w:pPr>
        <w:pStyle w:val="ListBullet"/>
        <w:spacing w:after="40"/>
      </w:pPr>
      <w:r>
        <w:t>AI 风控与 AI 经营分析。</w:t>
      </w:r>
    </w:p>
    <w:p>
      <w:pPr>
        <w:pStyle w:val="ListBullet"/>
        <w:spacing w:after="40"/>
      </w:pPr>
      <w:r>
        <w:t>自动提现与跨国清结算。</w:t>
      </w:r>
    </w:p>
    <w:p>
      <w:pPr>
        <w:pStyle w:val="ListBullet"/>
        <w:spacing w:after="40"/>
      </w:pPr>
      <w:r>
        <w:t>E-wallet、贷款、IPO 认购。</w:t>
      </w:r>
    </w:p>
    <w:p>
      <w:pPr>
        <w:pStyle w:val="ListBullet"/>
        <w:spacing w:after="40"/>
      </w:pPr>
      <w:r>
        <w:t>广告竞价、实时拍卖和高级推荐系统。</w:t>
      </w:r>
    </w:p>
    <w:p>
      <w:pPr>
        <w:pStyle w:val="Heading2"/>
        <w:keepNext/>
      </w:pPr>
      <w:r>
        <w:t>21.3 核心验收标准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1417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654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AC-01</w:t>
            </w:r>
          </w:p>
        </w:tc>
        <w:tc>
          <w:tcPr>
            <w:tcW w:type="dxa" w:w="7654"/>
            <w:vAlign w:val="top"/>
          </w:tcPr>
          <w:p>
            <w:pPr>
              <w:spacing w:after="20"/>
            </w:pPr>
            <w:r>
              <w:rPr>
                <w:sz w:val="17"/>
              </w:rPr>
              <w:t>管理员只能访问授权市场和授权操作。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AC-02</w:t>
            </w:r>
          </w:p>
        </w:tc>
        <w:tc>
          <w:tcPr>
            <w:tcW w:type="dxa" w:w="765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人工 MCP 与 ipoint 调整无法由同一人提交并批准。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AC-03</w:t>
            </w:r>
          </w:p>
        </w:tc>
        <w:tc>
          <w:tcPr>
            <w:tcW w:type="dxa" w:w="7654"/>
            <w:vAlign w:val="top"/>
          </w:tcPr>
          <w:p>
            <w:pPr>
              <w:spacing w:after="20"/>
            </w:pPr>
            <w:r>
              <w:rPr>
                <w:sz w:val="17"/>
              </w:rPr>
              <w:t>00:00 Reward Job 每次读取当时有效回馈率，并记录规则版本。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AC-04</w:t>
            </w:r>
          </w:p>
        </w:tc>
        <w:tc>
          <w:tcPr>
            <w:tcW w:type="dxa" w:w="765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修改回馈率后，历史已发放积分不变化，后续发放使用新规则。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AC-05</w:t>
            </w:r>
          </w:p>
        </w:tc>
        <w:tc>
          <w:tcPr>
            <w:tcW w:type="dxa" w:w="7654"/>
            <w:vAlign w:val="top"/>
          </w:tcPr>
          <w:p>
            <w:pPr>
              <w:spacing w:after="20"/>
            </w:pPr>
            <w:r>
              <w:rPr>
                <w:sz w:val="17"/>
              </w:rPr>
              <w:t>兑换订单保存提交时的兑换率和商品点数。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AC-06</w:t>
            </w:r>
          </w:p>
        </w:tc>
        <w:tc>
          <w:tcPr>
            <w:tcW w:type="dxa" w:w="765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商家可同时拥有标准配套和特别百分比配套。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AC-07</w:t>
            </w:r>
          </w:p>
        </w:tc>
        <w:tc>
          <w:tcPr>
            <w:tcW w:type="dxa" w:w="7654"/>
            <w:vAlign w:val="top"/>
          </w:tcPr>
          <w:p>
            <w:pPr>
              <w:spacing w:after="20"/>
            </w:pPr>
            <w:r>
              <w:rPr>
                <w:sz w:val="17"/>
              </w:rPr>
              <w:t>交易保存实际使用的配套版本与比例。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AC-08</w:t>
            </w:r>
          </w:p>
        </w:tc>
        <w:tc>
          <w:tcPr>
            <w:tcW w:type="dxa" w:w="765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佣金保存来源交易、关系链和规则版本。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AC-09</w:t>
            </w:r>
          </w:p>
        </w:tc>
        <w:tc>
          <w:tcPr>
            <w:tcW w:type="dxa" w:w="7654"/>
            <w:vAlign w:val="top"/>
          </w:tcPr>
          <w:p>
            <w:pPr>
              <w:spacing w:after="20"/>
            </w:pPr>
            <w:r>
              <w:rPr>
                <w:sz w:val="17"/>
              </w:rPr>
              <w:t>Ledger、交易和规则历史不可物理删除。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AC-10</w:t>
            </w:r>
          </w:p>
        </w:tc>
        <w:tc>
          <w:tcPr>
            <w:tcW w:type="dxa" w:w="765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任务失败可查看、重试且不会重复发放。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sz w:val="17"/>
              </w:rPr>
              <w:t>AC-11</w:t>
            </w:r>
          </w:p>
        </w:tc>
        <w:tc>
          <w:tcPr>
            <w:tcW w:type="dxa" w:w="7654"/>
            <w:vAlign w:val="top"/>
          </w:tcPr>
          <w:p>
            <w:pPr>
              <w:spacing w:after="20"/>
            </w:pPr>
            <w:r>
              <w:rPr>
                <w:sz w:val="17"/>
              </w:rPr>
              <w:t>所有高风险操作在 Audit Log 和 Timeline 可追溯。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AC-12</w:t>
            </w:r>
          </w:p>
        </w:tc>
        <w:tc>
          <w:tcPr>
            <w:tcW w:type="dxa" w:w="7654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Emergency Mode 可按模块暂停并记录原因。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已拍板决策清单</w:t>
      </w:r>
    </w:p>
    <w:p>
      <w:r>
        <w:t>以下条目属于本轮讨论中已经明确确认的后台规则，后续 UI、数据库和开发拆分均应以此为基线。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6803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已确认内容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终端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Web + PWA；不开发后台 iOS / Android 原生 App。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UI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沿用统一 iPoint Design System。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权限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Role + Market Access + Action Permission；不做复杂部门层级。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双人审批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仅人工 MCP 调整与人工 ipoint 钱包调整强制采用。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回馈率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浮动型，每日 00:00 发放时读取当时有效系统默认率。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回馈历史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已发放不追溯；未来尚未发放部分使用新率。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兑换率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可调整；订单提交时锁定。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商家配套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保留 A-F，同时允许 8%、12% 等特别百分比。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商家比例历史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交易发生时锁定，历史交易不被后续修改。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代理佣金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会员消费、推荐商家、升级代理佣金全部可调整。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佣金历史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业务发生时锁定，不追溯。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规则管理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版本、生效时间、适用市场、范围与审计记录。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数据删除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关键记录 Soft Delete / Archive，不物理删除。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运营能力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通知、任务、时间轴、搜索、导出、公告、健康状态。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23. 待后续确认事项</w:t>
      </w:r>
    </w:p>
    <w:p>
      <w:r>
        <w:t>以下项目尚未在本轮正式拍板，因此文档只预留能力，不写成最终业务规则：</w:t>
      </w:r>
    </w:p>
    <w:p>
      <w:pPr>
        <w:pStyle w:val="ListBullet"/>
        <w:spacing w:after="40"/>
      </w:pPr>
      <w:r>
        <w:t>团队业绩奖励的五个阶级、门槛、差额制和最终比例。</w:t>
      </w:r>
    </w:p>
    <w:p>
      <w:pPr>
        <w:pStyle w:val="ListBullet"/>
        <w:spacing w:after="40"/>
      </w:pPr>
      <w:r>
        <w:t>各国代理费、代理升级佣金金额与货币。</w:t>
      </w:r>
    </w:p>
    <w:p>
      <w:pPr>
        <w:pStyle w:val="ListBullet"/>
        <w:spacing w:after="40"/>
      </w:pPr>
      <w:r>
        <w:t>回馈率允许的最低值、最高值和小数精度。</w:t>
      </w:r>
    </w:p>
    <w:p>
      <w:pPr>
        <w:pStyle w:val="ListBullet"/>
        <w:spacing w:after="40"/>
      </w:pPr>
      <w:r>
        <w:t>特别商家服务费允许范围和超范围授权条件。</w:t>
      </w:r>
    </w:p>
    <w:p>
      <w:pPr>
        <w:pStyle w:val="ListBullet"/>
        <w:spacing w:after="40"/>
      </w:pPr>
      <w:r>
        <w:t>各市场兑换率、兑换上限与现金券规则。</w:t>
      </w:r>
    </w:p>
    <w:p>
      <w:pPr>
        <w:pStyle w:val="ListBullet"/>
        <w:spacing w:after="40"/>
      </w:pPr>
      <w:r>
        <w:t>MCP 人工调整是否设置金额阈值；当前默认任何人工调整均双人审批。</w:t>
      </w:r>
    </w:p>
    <w:p>
      <w:pPr>
        <w:pStyle w:val="ListBullet"/>
        <w:spacing w:after="40"/>
      </w:pPr>
      <w:r>
        <w:t>佣金正式结算周期、税务扣除和付款方式。</w:t>
      </w:r>
    </w:p>
    <w:p>
      <w:pPr>
        <w:pStyle w:val="ListBullet"/>
        <w:spacing w:after="40"/>
      </w:pPr>
      <w:r>
        <w:t>各市场 KYC、数据保留和法律合规细则。</w:t>
      </w:r>
    </w:p>
    <w:p>
      <w:pPr>
        <w:pStyle w:val="ListBullet"/>
        <w:spacing w:after="40"/>
      </w:pPr>
      <w:r>
        <w:t>PWA 上允许执行的具体审批操作范围。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CFEFF"/>
            <w:tcBorders>
              <w:top w:val="single" w:sz="10" w:color="0F766E"/>
              <w:left w:val="single" w:sz="10" w:color="0F766E"/>
              <w:bottom w:val="single" w:sz="10" w:color="0F766E"/>
              <w:right w:val="single" w:sz="10" w:color="0F766E"/>
            </w:tcBorders>
          </w:tcPr>
          <w:p>
            <w:pPr>
              <w:spacing w:after="40"/>
            </w:pPr>
            <w:r>
              <w:rPr>
                <w:b/>
                <w:color w:val="0F766E"/>
              </w:rPr>
              <w:t>下一阶段</w:t>
            </w:r>
          </w:p>
          <w:p>
            <w:pPr>
              <w:spacing w:after="0"/>
            </w:pPr>
            <w:r>
              <w:t>本 PRD 作为后台逻辑与技术框架基线。下一步进入完整 Admin UI 设计，页面必须严格映射本文件中的模块、状态、权限和工作流，不得脱离已确认逻辑。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A：统一状态字典建议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6803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通用工作流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Draft / Pending / Approved / Rejected / Active / Suspended / Terminated / Archived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交易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Created / Confirmed / Processing / Completed / Disputed / Frozen / Reversed / Cancelled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佣金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Pending / Qualified / Paid / Cancelled / Frozen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任务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Queued / Running / Succeeded / Partially Failed / Failed / Cancelled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规则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Draft / Scheduled / Active / Expired / Cancelled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兑换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Pending / Approved / Processing / Shipped / Completed / Rejected / Cancelled / Refunded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B：权限命名示例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268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803"/>
            <w:shd w:fill="0F766E"/>
            <w:vAlign w:val="center"/>
          </w:tcPr>
          <w:p>
            <w:r>
              <w:rPr>
                <w:b/>
                <w:color w:val="FFFFFF"/>
                <w:sz w:val="17"/>
              </w:rPr>
              <w:t>权限示例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Member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member.view / member.kyc.approve / member.freeze / member.wallet.adjust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Merchant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merchant.view / merchant.approve / merchant.package.assign / merchant.mcp.adjust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Transaction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transaction.view / transaction.freeze / transaction.reverse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Rules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rule.view / rule.create / rule.publish / rule.cancel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sz w:val="17"/>
              </w:rPr>
              <w:t>Commission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sz w:val="17"/>
              </w:rPr>
              <w:t>commission.view / commission.qualify / commission.pay / commission.export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System</w:t>
            </w:r>
          </w:p>
        </w:tc>
        <w:tc>
          <w:tcPr>
            <w:tcW w:type="dxa" w:w="6803"/>
            <w:vAlign w:val="top"/>
            <w:shd w:fill="F8FAFC"/>
          </w:tcPr>
          <w:p>
            <w:pPr>
              <w:spacing w:after="20"/>
            </w:pPr>
            <w:r>
              <w:rPr>
                <w:sz w:val="17"/>
              </w:rPr>
              <w:t>admin.manage / market.manage / job.retry / emergency.toggle / audit.view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 xml:space="preserve">iPoint Confidential ·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iPoint Admin Console · PRD V1.0 · Internal Official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F17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F76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F76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b/>
      <w:i/>
      <w:iCs/>
      <w:color w:val="47556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100"/>
    </w:pPr>
    <w:rPr>
      <w:rFonts w:ascii="Aptos" w:hAnsi="Aptos" w:eastAsia="Microsoft YaHei"/>
      <w:b w:val="0"/>
      <w:color w:val="475569"/>
      <w:sz w:val="17"/>
    </w:rPr>
  </w:style>
  <w:style w:type="paragraph" w:customStyle="1" w:styleId="Callout">
    <w:name w:val="Callout"/>
    <w:pPr>
      <w:spacing w:after="100"/>
      <w:shd w:fill="F0FDFA"/>
    </w:pPr>
    <w:rPr>
      <w:rFonts w:ascii="Aptos" w:hAnsi="Aptos" w:eastAsia="Microsoft YaHei"/>
      <w:b w:val="0"/>
      <w:color w:val="0F172A"/>
      <w:sz w:val="21"/>
    </w:rPr>
  </w:style>
  <w:style w:type="paragraph" w:customStyle="1" w:styleId="CodeLike">
    <w:name w:val="CodeLike"/>
    <w:pPr>
      <w:spacing w:after="100"/>
      <w:shd w:fill="F8FAFC"/>
    </w:pPr>
    <w:rPr>
      <w:rFonts w:ascii="Aptos" w:hAnsi="Aptos" w:eastAsia="Microsoft YaHei"/>
      <w:b w:val="0"/>
      <w:color w:val="0F172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iPoint Admin PRD V1.0 Full Official Edition</dc:title>
  <dc:subject>iPoint 平台管理后台完整逻辑与技术框架</dc:subject>
  <dc:creator>iPoint Product Team</dc:creator>
  <cp:keywords>iPoint, Admin, PRD, Backend, Rules, Ledger, PWA</cp:keywords>
  <dc:description>Internal Confidential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