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QRing Protocol: A Comprehensive Analysis of Post-Quantum Cryptographic Migration, Performance Optimization, and the HNDL Threat Landscape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and Geopolitical Context of the Quantum Horizon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acceleration of quantum computing research has catalyzed a definitive and existential threat to the cryptographic foundations of the global digital economy, profoundly impacting privacy-preserving decentralized ledgers.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average individual, the digital infrastructure that secures banking applications, private communications, and digital asset holdings relies on mathematical puzzles that are virtually impossible for standard computers to solve. However, quantum computers operate on principles of quantum mechanics, utilizing qubits that can exist in a state of superposition, enabling them to process massive theoretical combinations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impending viability of cryptographically relevant quantum computers executing Shor’s algorithm threatens to solve these foundational mathematical puzzles—specifically the Elliptic Curve Discrete Logarithm Problem (ECDLP) and the Integer Factorization Problem—in polynomial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transparent blockchain ledgers, this implies the catastrophic potential for forged signatures and the outright theft of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for privacy-centric networks designed to shield financial histories, the threat is exponentially more devastating.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adversarial entity equipped with a quantum computer could retroactively de-anonymize an entire blockchain history, expose historical user balances, trace previously obfuscated transactions, and forge spend authorizations to hyper-inflate the monetary supply silently.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vulnerability is not merely a theoretical concern slated for the distant future; it is an immediate, active danger due to the aggressive proliferation of the "Harvest Now, Decrypt Later" (HNDL)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Prominence of the "Harvest Now, Decrypt Later" (HNDL) Threat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high level, the HNDL strategy is a long-term surveillance and espionage tactic based on profound patience. Cybercriminals and nation-state adversaries are currently intercepting and capturing vast quantities of encrypted data traffic that they cannot currently read.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data is being funneled into massive, long-term storage repositories.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explicit intent is to archive this ciphertext until quantum machines achieve sufficient logical qubit stability, at which point the adversaries will deploy quantum algorithms to decrypt the decades-old archives.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HNDL strategy transforms persistent communication records and immutable blockchain ledgers into time-dependent vulnerabilities, dictating that cryptographic exposure lasts exactly as long as the data itself remains valuable.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Recent threat intelligence data underscores the staggering scale of this operation. According to the 2026 Thales Data Threat Report, 61% of surveyed organizations cite HNDL attacks as their absolute top security concern, prompting a massive pivot where 59% of enterprises are actively prototyping and evaluating post-quantum cryptographic algorithms.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economic stakes are astronomical; a comprehensive report from the Citi Institute highlights that a single-day quantum attack targeting major financial infrastructure could result in a devastating $3 trillion reduction in Gross Domestic Product, generating severe ripple effects across telecommunications, healthcare, and national defense.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blockchain networks function as immutable, publicly distributed ledgers, every transaction ever broadcasted is permanently recorded by network nodes globally.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underlying cryptography is broken in the future, the privacy of today's transactions will be retroactively and permanently destroyed, yielding a ticking clock for network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transition to post-quantum cryptography (PQC) is characterized not as a distant exercise, but as an urgent operational imperative that will fundamentally redefine the digital asset market.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and Standardization Response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this looming cryptographic apocalypse, global regulatory bodies and standardization agencies have rapidly mobilized to enforce quantum-resilient architectures. The U.S. National Institute of Standards and Technology (NIST) finalized its principal set of PQC standards in late 2024, deploying FIPS 203 based on the Module-Lattice-Based Key-Encapsulation Mechanism (ML-KEM), FIPS 204 based on the Module-Lattice-Based Digital Signature Algorithm (ML-DSA), and FIPS 205 based on the Stateless Hash-Based Digital Signature Standard (SLH-DSA).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2025, NIST further fortified this baseline by selecting Hamming Quasi-Cyclic (HQC) as a backup encryption standard, ensuring mathematical diversity in the event that lattice-based systems face unforeseen cryptanalytic vulnerabilities.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regulatory framework has grown increasingly stringent. The United States issued National Security Memorandum 10 (NSM-10) and the Commercial National Security Algorithm Suite 2.0 (CNSA 2.0), establishing aggressive migration timelines that mandate PQC deployment for newly classified systems by 2027 and a full transition by 2035.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Europe, the Digital Operational Resilience Act (DORA) has begun incorporating PQC requirements for financial entities to maintain high data confidentiality standards against future technological shifts.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convergence of these technological threats and regulatory mandates has created a definitive mandate for the cryptocurrency sector: networks must either evolve to quantum-secure foundations immediately or face total obsolescence and regulatory banishment.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Legacy Cryptographic Vulnerabilities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grasp the profound architectural significance of the newly developed QRing protocol, one must first understand the structural mechanics and subsequent vulnerabilities of its predecessor, the vanilla Monero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Monero relies on a highly complex, interdependent stack of cryptographic primitives to ensure sender anonymity, receiver unlinkability, and transaction value confidentiality.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Every layer of this historical stack is anchored to elliptic curve cryptography, leaving it entirely exposed to quantum cryptanalysis.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Elliptic Curve Stealth Addresses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average user, stealth addresses function like a single-use digital drop box. When someone sends funds, the network generates a unique, one-time address for that specific transaction, ensuring that outside observers cannot look at the public ledger and see how much money a specific person is receiving. Mathematically, Monero achieves this through a Dual-Key Stealth Address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sender initiates a transfer, they perform an elliptic curve Diffie-Hellman (ECDH) key exchange utilizing the receiver's public view key and public spend key, which are constructed over the Ed25519 or secp256k1 elliptic curves.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mathematical interaction generates a shared secret and a one-time ephemeral public key that serves as the destination.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mathematical derivation of this shared secret relies heavily on the assumed hardness of the discrete logarithm problem over elliptic curves, it is fundamentally fragile against quantum computation.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adversary equipped with a cryptographically relevant quantum computer running Shor’s algorithm could trivially derive the recipient's private keys directly from their publicly posted stealth meta-address.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calculating the shared secret retroactively, the adversary could algorithmically link all historical and future ephemeral outputs to a single human identity, completely breaking receiver unlinkability and permanently destroying the user's financial privacy.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Legacy Ring Signatures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obscure the true sender of a transaction, Monero utilizes ring signatures, specifically the Concise Linkable Spontaneous Anonymous Group (CLSAG) scheme.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Conceptually, a ring signature allows a user to sign a transaction by grouping their own digital signature with the signatures of several random, uninvolved users (decoys) pulled from the blockchain's history. To an observer, the transaction is cryptographically valid, but it is impossible to tell which of the group members actually authorized the spend. To prevent a user from spending the same coin twice, the protocol relies on a "key image," a unique cryptographic fingerprint mathematically linked to the spent output without revealing the output itself.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flaw in the quantum era is that the anonymity of the ring signature is entirely derived from the discrete logarithm assumption.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quantum adversary could effortlessly compute the discrete logarithm of the key image alongside the signature 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rapid computation would instantly unmask the true signer hiding among the decoys, unraveling sender privacy completely and empowering the adversary to trace the exact, un-obfuscated flow of funds across the entire network architecture over the lifetime of the blockchain.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Breakdown of Confidential Transactions and Bulletproofs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Monero obscures the exact monetary value transferred in a transaction using Pedersen commitments.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Pedersen commitment is a homomorphic cryptographic primitive; it allows the decentralized network to mathematically verify that the sum of the transaction inputs equals the sum of the outputs without ever revealing the actual amounts being transferred.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because the commitments possess homomorphic properties, an attacker could theoretically craft a malicious transaction containing a negative output value, thereby artificially creating an infinite supply of cryptocurrency out of thin air.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neutralize this hyper-inflationary threat, Monero employs Bulletproofs.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Bulletproofs operate as a highly efficient zero-knowledge range proof protocol that cryptographically guarantees that the committed values lie strictly within a positive integer range.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Bulletproofs are lauded in classical cryptography due to their incredibly compact size—typically requiring less than one kilobyte of data—they are entirely reliant on the discrete logarithm assumption.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Breaking the underlying mathematical assumptions of the Ring Confidential Transactions (RingCT) protocol would allow a quantum attacker to view all historical transaction amounts in cleartext.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through the algebraic manipulation of the broken commitments, the attacker could easily isolate and identify the true inputs embedded within a ring signature, rendering the network's decoy mechanisms functionally useless and destroying the entire privacy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QRing Architectural Framework: Post-Quantum Cryptographic Primitives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the imminent collapse of classical cryptography under the HNDL threat, the QRing protocol was architected as a standalone, post-quantum hardfork derived directly from the Monero network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QRing completely abandons vulnerable elliptic curve assumptions, opting instead for a mathematically secure hybrid lattice-based cryptographic suite.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Lattice-based cryptography represents the optimal compromise between provable security against Shor's algorithm, signature size footprint, and computational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alternative post-quantum families exist, they present severe obstacles for high-frequency decentralized ledgers. Hash-based signatures, such as SPHINCS+, require massive multikilobyte data footprints—ranging from eight to thirty kilobytes—that would cause exponential blockchain bloat.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Multivariate cryptography suffers from immense public key sizes and a history of structural fragilities, while isogeny-based cryptography, despite offering exceptionally small signature sizes, imposes a massive computational overhead that would heavily throttle block verification times on consumer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QRing is anchored entirely in advanced lattice mathematics.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Restoring Recipient Privacy: Module-LWE and Cryptographic View Tags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restore recipient unlinkability against quantum adversaries, QRing replaces the classical Dual-Key Stealth Address Protocol with a Key Encapsulation Mechanism (KEM) providing indistinguishability under chosen-ciphertext attack (IND-CCA).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optimal solution implemented is the Module Learning With Errors (Module-LWE) Stealth Address Protocol.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 technical level, Module-LWE balances the strict, conservative security guarantees of standard Learning With Errors with the high operational efficiency of Ring Learning With Errors by defining lattices over structured module matrices.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proposed protocol architecture, a recipient generates a stealth meta-address consisting of two distinct public keys derived via the Kyber key generation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QRing targets the Kyber768 parameter set, representing the optimum balance of post-quantum security (equivalent to AES-192) and rapid scanning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sender wishes to transmit funds, they execute the encapsulation algorithm using the recipient's public view key to generate an ephemeral ciphertext alongside a cryptographically secure shared secret.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sender then uses this shared secret to deterministically calculate the specific ephemeral transaction address.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benchmarks demonstrate that this Module-LWE approach achieves a 66.8% faster scanning time compared to classical elliptic curve pairing protocols, maintaining linear efficiency even under massive network loads.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stealth address protocols inherently place a severe computational burden on the receiver, whose wallet must cryptographically scan every single network transaction attempting to mathematical decapsulate the payload to identify incoming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lattice-based paradigm, executing a full Kyber decapsulation routine for the entire network throughput is computationally prohibitive, particularly for lightweight wallets running on constrained mobile devices.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resolve this limitation, QRing integrates cryptographic view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view tag is a highly truncated, one-byte cryptographic hash of the shared secret, appended directly to the external transaction data payload alongside the ephemeral ciphertext.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block synchronization phase, the recipient’s wallet computes a highly lightweight preliminary hash.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resulting byte does not perfectly match the appended view tag, the transaction is instantly identified as irrelevant and discarded without further calculation.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single byte of data overhead mathematically filters out 99.6% of all network transactions instantly.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recipient only performs the heavy Module-LWE decapsulation if the view tag aligns.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truncating the view tag marginally reduces the theoretical privacy security margin, it accelerates total blockchain scanning times by two full orders of magnitude, effectively rendering the scanning speed comparable to highly efficient classical elliptic curve protocols and making post-quantum stealth addresses perfectly viable for modern mobile hardware.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Sender Anonymity: MatRiCT+ and Full-Chain Membership Proofs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QRing's privacy model relies on completely obscuring the true sender of funds. Transitioning this function to a post-quantum framework presents extreme risks of blockchain data bloat due to the inherently large size of lattice 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radically enhance privacy, QRing implements Full-Chain Membership Proofs (FCMP++), transitioning the network architecture from a historically limited anonymity set of sixteen decoy outputs to a massive, global set incorporating the entire history of the ledger—encompassing over one hundred million historical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profound cryptographic leap alters how privacy scales; anonymity no longer depends on localized decoy selection algorithms, permanently preventing privacy decay as the blockchain state grows over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cryptographically referencing millions of decoys requires a signature scheme that scales logarithmically; if the signature size scaled linearly with the decoy count, individual transaction sizes would easily exceed several gigabytes, paralyzing the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QRing resolves this architectural crisis by integrating the highly optimized MatRiCT+ protocol, a practical private blockchain payment protocol based entirely on post-quantum lattice assumptions.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optimizations embedded within the MatRiCT+ protocol are extensive.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of adopting traditional one-out-of-many binary proofs, MatRiCT+ proves membership utilizing an inner-product-based linear equation satisfiability approach.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leveraging the concept of "unbalanced" relations, the protocol completely bypasses costly binary proof components, resulting in signature structures that scale logarithmically relative to the massive anonymity 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MatRiCT+ extensively exploits the highly-splitting algebraic properties of power-of-two cyclotomic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Coupled with a novel "partition-and-sample" technique, the protocol generates theoretically optimal challenge spaces.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specialized technique minimizes the mathematical norm of the challenges while guaranteeing invertible challenge differences with overwhelming probability, drastically compressing the required proof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advanced lattice-based zero-knowledge proofs integrated into MatRiCT+ completely eliminate the necessity to generate, verify, and transmit complex "corrector values" that were heavily mandated by original lattice ring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stripping out these corrector values and utilizing optimized rejection sampling combined with inner-product proofs, MatRiCT+ achieves proving times up to 30% faster and verification times 20% faster than baseline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Most importantly, the resulting proofs are mathematically compressed to be 2 to 18 times shorter than original implementations, successfully mapping post-quantum anonymity to a viable blockchain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Blockchain Bloat: Lattice-Based Aggregable Confidential Transactions (LACT+)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immense logarithmic compression achieved by the MatRiCT+ framework, the continuous, universal deployment of inherently larger post-quantum transactions would eventually violate the rigid operational constraints of decentralized ledgers.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continuous accumulation of static lattice signatures would precipitate severe blockchain bloat, rapidly pushing the ledger size into the terabytes, centralizing node operation, and degrading the user experience.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guarantee that QRing remains verifiable by standard consumer hardware over the ensuing decade, the architecture formally abandons historical, static transaction paradigms in favor of Lattice-Based Aggregable Confidential Transactions (LACT+).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LACT+ introduces the concept of trustless immutability through mathematically verifiable transaction aggregation.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advanced framework, multiple individual transactions are mathematically aggregated into a single, highly compressed transaction block.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aggregation mechanism empowers the decentralized network to permanently delete intermediate spent coin records and effortlessly discard redundant signature data, drastically shrinking the physical size of the ledger while maintaining strict, consensus-level verification.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mathematical and engineering optimizations enabling LACT+ are built upon the Approximate Modular Short Integer Solution (Approx-SIS) problem.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previous protocols that relied on standard SIS or Module-LWE for commitments, the transition to Approx-SIS is the primary driver for massive data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maximize this efficiency, coins within the QRing network are mathematically stored in their binary bit representations rather than full integers.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natively adding two binary commitments does not naturally resolve arithmetic carries, the protocol engineers highly optimized "logarithmic carry 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specialized proofs mathematically fix the summation across multiple inputs and outputs at a strictly logarithmic cost, ensuring transaction headers remain exceptionally light even for complex, multi-input transactions.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these mechanisms, LACT+ compresses a confidential monetary value commitment down to an optimized 3.87 kilobytes (down from early unoptimized estimates of 5.7 KB), a substantial structural reduction from the 9.6 kilobytes required by unaggregated MatRiCT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strictly maintain consensus-level security without forcing network peers to blindly trust aggregated data from third parties, LACT+ utilizes constant-size activity proofs embedded directly into the transaction headers.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most crucial feature of this mechanism is that the activity proof, which definitively verifies the existence of both input and output coin records, is statically sized at exactly 49 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constant 49-byte footprint remains utterly identical regardless of whether an aggregated transaction features two inputs or two thousand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nodes on the QRing network can download a heavily pruned, fully aggregated chain and still mathematically verify the entire historical ledger without encountering I/O bottlenecks or massive data downloads.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Neutralizing Quantum Inflation: The Lantern Framework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replace the quantum-vulnerable Bulletproofs algorithm and ensure that hidden transaction amounts represent valid positive integers, QRing deploys the advanced Lantern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attempts at generating lattice-based zero-knowledge range proofs were plagued by extreme inefficiency, relying heavily on converting values into binary Chinese Remainder Theorem (CRT)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mandated explicit, repetitive proofs demonstrating that every individual coefficient of a massive vector was small, leading to explosive proof sizes measuring in the hundreds of kilobytes and rendering them entirely unviable for high-throughput cryptocurrencies.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Lantern framework circumvents this historical inefficiency by utilizing an innovative "approximate range proof"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securely on the established hardness of the Module-Short Integer Solution (Module-SIS) and Module-Learning With Errors problems, Lantern completely bypasses binary CRT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of relying on exact norm bounds within a finite field modulus, the protocol effectively lifts the mathematical proof over the standard integers.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begins by committing to a highly secure masking vector to ensure absolute zero-knowledge properties.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Subsequently, it utilizes sophisticated polynomial product proof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mathematically isolating the inner product of two secret vectors strictly into the constant coefficient of a generated polynomial product—while strictly hiding all other resulting coefficients—Lantern can prove knowledge of an inner product directly, elegantly, and efficiently.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brilliant algorithmic breakthrough compresses the resulting range proof for a standard 64-bit transaction value down to approximately 13 kilobytes.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renders the Lantern proof two to three times smaller than all preceding post-quantum range proof methodologies.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seamlessly integrated into the transaction aggregation structures of the LACT+ protocol, the 13-kilobyte footprint of the Lantern proof is efficiently amortized across multiple transaction inputs and outputs, completely neutralizing its impact on the long-term size of the ledger while preventing malicious actors from minting infinite coins.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Engineering Optimizations: Maximizing Cryptographic Velocity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theoretical architecture of QRing flawlessly resolves the security vulnerabilities of the quantum era, the commercial viability of a cryptocurrency is dictated entirely by its execution speed and resource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operational bottleneck in lattice-based cryptography—specifically within the Module-LWE framework utilized for Kyber-based stealth addresses and Dilithium-based signature structures—is polynomial multiplication over finite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actualize QRing as a highly performant and globally scalable network, an exhaustive matrix of engineering optimizations is aggressively applied across the algorithmic, hardware, database, and network layers.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Acceleration: The NTT and Advanced Modular Reduction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accelerate polynomial convolution, the QRing protocol heavily utilizes the Number Theoretic Transform (NTT), a specialized variant of the Fast Fourier Transform defined over a finite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Optimizing the NTT and its underlying modular arithmetic is the absolute most critical engineering task for improving base-layer performance in the QRing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core NTT butterfly operations, polynomial coefficient multiplications must be immediately followed by modular reductions.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specific choice of reduction algorithm directly dictates the instruction count, pipeline latency, and register pressure imposed on the processing unit.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QRing implements highly specialized modular reduction algorithms depending on the specific mathematical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asymmetrical matrix-vector polynomial products, which constitute a massive portion of the computational workload for establishing post-quantum stealth addresses, the architecture employs a hybrid "Barrett multiplication".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advanced technique combines the principles of Montgomery multiplication with Barrett reduction—which calculates modulo operations by approximating mathematical division using precomputed constants, allowing division to be replaced with simpler hardware shift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Hybrid Barrett multiplication computes modular multiplication utilizing exactly three integer multiplications, optimizing it flawlessly for execution via modern vector instructions that natively support fixed-point arithmetic.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general lattice polynomial multiplication utilizing the specific small moduli associated with Kyber-based stealth addresses (such as </w:t>
      </w:r>
      <w:r w:rsidDel="00000000" w:rsidR="00000000" w:rsidRPr="00000000">
        <w:rPr>
          <w:rFonts w:ascii="Google Sans" w:cs="Google Sans" w:eastAsia="Google Sans" w:hAnsi="Google Sans"/>
          <w:color w:val="1f1f1f"/>
        </w:rPr>
        <w:drawing>
          <wp:inline distB="19050" distT="19050" distL="19050" distR="19050">
            <wp:extent cx="703540" cy="237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3540" cy="237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QRing deploys a signed Montgomery reduction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Montgomery reduction transforms numerical values into a specialized mathematical domain, allowing reductions to be realized primarily through rapid shifts and additions, bypassing costly division instructions entirely.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implementing a signed variant, the absolute mathematical range remains strictly bounded.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completely eliminates the need for the final conditional subtraction processes mandated by standard unsigned Montgomery variants, as the growth of the coefficients never exceeds standard word sizes even after the full suite of NTT computations is finalized.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low-end 32-bit hardware architectures and resource-constrained Internet of Things (IoT) devices acting as lightweight QRing nodes, the architecture relies heavily on Improved Plantard Arithmetic.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intrinsic mathematical superiority of Plantard arithmetic is that it fundamentally saves one full multiplication cycle during the modular multiplication of a constant compared to alternative methods.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original Plantard designs were limited to unsigned inputs, the engineered improved variant utilized by QRing accepts signed integers, produces signed outputs, and vastly enlarges the permissible input range.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this tailored input range is at least 2.14 times larger than the bounds permitted by traditional Montgomery arithmetic, engineers can implement highly aggressive "lazy reduction" strategies.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Lazy reduction intentionally skips unnecessary modular reductions during the intermediate addition and subtraction operations of both the NTT and the Inverse NTT.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deferring the modular reduction until the absolute final step of the polynomial evaluation, CPU cycle counts for lightweight nodes are drastically lowered, ensuring inclusive and decentralized node operation.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Vectorization Paradigms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QRing architecture fundamentally anticipates an operational environment where iterative hardware evolution naturally mitigates the computational burden of lattice-based cryptography.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fully harness this paradigm, the underlying software architecture is rigidly bound to advanced hardware vector instruction sets, completely moving away from traditional scalar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high-performance validator nodes and backend infrastructure operating on Intel or AMD x86 architectures, the QRing node software must be compiled to explicitly leverage Advanced Vector Extensions 512 (AVX-512).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AVX-512 introduces the Integer Fused Multiply-Add (IFMA) instruction set, a critical hardware feature capable of performing concurrent 52-bit by 52-bit to 104-bit positive integer multiplications within a single operational cycle, accumulating the result directly into a 64-bit operand.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meticulously vectorizing polynomial arithmetic, modular reduction, and constant-time rejection sampling functions, AVX-512 implementations can process up to sixteen independent polynomials simultaneously within a massive 512-bit wide register.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optimization yields profound speed improvements, completely dominating baseline AVX2 reference implementations.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devices and lightweight tablets form a critical demographic for decentralized cryptocurrency wallets. By the target widespread deployment phase of the post-quantum era, ARMv9-A processors will universally dominate this consumer hardware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sub-millisecond wallet synchronization speeds, QRing deeply utilizes the Scalable Vector Extension 2 (SVE2) and the Scalable Matrix Extension (SME).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SVE2 offers hardware-agnostic, scalable vector lengths and yields the full product of a 32-bit widening integer multiplication in a single instruction.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practically eliminates data dependencies and maximizes functional unit utilization in out-of-order execution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transitioning the architecture from a standard vector-based NTT to a matrix-based NTT (MatNTT) via the SME framework unlocks immense performance gains.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MatNTT strategy leverages specialized ZA storage arrays inherent to the SME architecture to orchestrate highly sequential data access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hybrid vector-matrix processing approach allows cryptographic twiddle factors to be reused efficiently across register pairs.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highly specific hardware arrangement reduces the required twiddle factor table size by approximately 65%, drastically simplifying memory arrangement and practically eliminating L1 cache misses.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lattice schemes heavily depend on Extendable-Output Functions (XOFs), predominantly the SHAKE-128 and SHAKE-256 algorithms derived from the SHA-3 family, to deterministically expand tiny cryptographic public seeds into massive, multi-dimensional polynomial matrices on the fly.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executing these subroutines can consume massive portions of processor clock cycles, the QRing client software features dynamic hardware probing.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detects the presence of dedicated silicon instruction sets, such as the ARMv8.4-A Keccak-NI (New Instructions) crypto extension.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detected, the software seamlessly routes all XOF matrix generation requests directly to the dedicated hardware, bypassing sluggish software-based bitwise XOR operations and calculating complex permutations rapidly in specialized silicon.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Privacy and Database Persistence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fundamentally overlooked attack vector in post-quantum migrations is network-level de-anonymization.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Post-quantum transactions, even when aggressively compressed by LACT+ and MatRiCT+, are inherently and noticeably larger than classical cryptographic transactions.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increased byte size alters the network propagation timing on the wire, making it significantly easier for an observing adversary to monitor the peer-to-peer (P2P) communication layer and link a specific IP address to a specific transaction broadcast.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origin IP address is unmasked through timing analysis, the robust mathematical privacy provided by the ledger's cryptography is instantly circumvented.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completely neutralize this surveillance vector, the QRing node software is deeply integrated with the Dandelion++ propagation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Dandelion++ redesigns P2P networking from first principles to provide near-optimal, network-wide information-theoretic anonymity.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QRing node broadcasts a new transaction, it utilizes a strict two-phase forwarding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First, in the "Stem Phase," the transaction is relayed privately across a small, randomly chosen, singular path of proxy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a node probabilistically triggers a transition, the protocol shifts to the "Fluff Phase," where the transaction is suddenly flooded to the entire network.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fluff phase initiates at a randomly selected proxy node physically distant from the true origin IP, adversaries monitoring the broader network cannot deterministically trace the propagation vectors back to the original sender.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local machine level, managing the massive, continuously growing index of unspent and spent outputs alongside complex Merkle trees demands an exceptionally tuned database engine to prevent Input/Output (I/O) bottlenecks.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RocksDB engine is optimized for QRing by implementing a Virtual Persistent Cache (VPC) design.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VPC adaptively exploits computing and memory management resources from the host system, dramatically improving write responsiveness by buffering state changes in RAM and deferring intensive disk I/O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state changes within concurrent RocksDB transactions utilizing strict row-level locking, the architecture allows multiple processor threads to validate and persist independent, non-conflicting zero-knowledge proofs simultaneously, maximizing multi-core CPU utilization.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Performance Benchmarks: QRing vs. Vanilla Monero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these profound mathematical shifts and intensive engineering optimizations results in a network that not only survives the quantum threat but actively outperforms classical cryptographic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Comprehensive Phase 2 profiling and benchmark results demonstrate that QRing operates remarkably close to, and in some metrics entirely exceeds, the operational baselines set by vanilla Monero.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rigorously test the architecture, engineers utilize a "heavy" transaction configuration featuring 10 inputs and 10 outputs. In a naive implementation, individual PQC membership proofs for each input led to linear growth, resulting in unviable transaction sizes initially estimated at ~185 KB or even ~384 KB in early MatRiCT prototypes.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by implementing MatRiCT+ cross-input aggregation utilizing amortized linear forms, QRing successfully aggregated all input membership proofs into a single shared Fiat-Shamir challenge.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breakthrough yields a constant-size membership proof overhead per transaction.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protocol aggressively compressed the Approx-SIS commitments required for lattice 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Chinese Remainder Theorem (CRT) packing and tighter norm bounds derived from improved rejection sampling, individual commitment sizes were reduced from 5.7 KB to an optimized 3.87 KB, successfully meeting sub-4 KB engineering targets.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comparative performance metrics decisively illustrate QRing's superiority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Vanilla Monero (Classical ECC)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QRing LACT+ Aggregated (Post-Quantum)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 / Underlying Optimization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Serialized Transaction Size</w:t>
            </w:r>
            <w:r w:rsidDel="00000000" w:rsidR="00000000" w:rsidRPr="00000000">
              <w:rPr>
                <w:rFonts w:ascii="Google Sans" w:cs="Google Sans" w:eastAsia="Google Sans" w:hAnsi="Google Sans"/>
                <w:color w:val="1f1f1f"/>
                <w:shd w:fill="auto" w:val="clear"/>
                <w:rtl w:val="0"/>
              </w:rPr>
              <w:t xml:space="preserve"> (10-in/10-out Heavy)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~116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~78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Amortized linear forms; shared Fiat-Shamir challenge; CRT packing.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Verification Time</w:t>
            </w:r>
            <w:r w:rsidDel="00000000" w:rsidR="00000000" w:rsidRPr="00000000">
              <w:rPr>
                <w:rFonts w:ascii="Google Sans" w:cs="Google Sans" w:eastAsia="Google Sans" w:hAnsi="Google Sans"/>
                <w:color w:val="1f1f1f"/>
                <w:shd w:fill="auto" w:val="clear"/>
                <w:rtl w:val="0"/>
              </w:rPr>
              <w:t xml:space="preserve"> (10-in/10-out)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8.1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Dilithium3 Span Batch Verification (AVX2-optimized cross-block validation).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Propagation Latency</w:t>
            </w:r>
            <w:r w:rsidDel="00000000" w:rsidR="00000000" w:rsidRPr="00000000">
              <w:rPr>
                <w:rFonts w:ascii="Google Sans" w:cs="Google Sans" w:eastAsia="Google Sans" w:hAnsi="Google Sans"/>
                <w:color w:val="1f1f1f"/>
                <w:shd w:fill="auto" w:val="clear"/>
                <w:rtl w:val="0"/>
              </w:rPr>
              <w:t xml:space="preserve"> (500 tx 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Bitcoin-style Compact Block gossip (Header + 49-byte proofs + Short IDs).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Orphan Rate</w:t>
            </w:r>
            <w:r w:rsidDel="00000000" w:rsidR="00000000" w:rsidRPr="00000000">
              <w:rPr>
                <w:rFonts w:ascii="Google Sans" w:cs="Google Sans" w:eastAsia="Google Sans" w:hAnsi="Google Sans"/>
                <w:color w:val="1f1f1f"/>
                <w:shd w:fill="auto" w:val="clear"/>
                <w:rtl w:val="0"/>
              </w:rPr>
              <w:t xml:space="preserve"> (500 tx block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&gt;99% reduction in block gossip volume (from ~3.8 MB to ~32.4 KB).</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severe CPU bottlenecks during the Initial Block Download (IBD) phase, QRing implemented Dilithium3 Span Batch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processing signatures in massive batches using AVX2-optimized pipelines, the effective verification time dropped to a staggering 25µs per signature.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enhancement drives a 30-50% reduction in total IBD time, allowing new nodes to bootstrap into the network with unprecedented speed.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implementation of the LACT+ aggregation architecture ensures that the long-term structural footprint of the decentralized ledger remains highly sustainable.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Projections extending to 1,000,000 blocks—assuming a continuous, heavy network load of 10 complex transactions per block—indicate that vanilla Monero would suffer from substantial state bloat, requiring approximately 1,106 GB of disk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optimized QRing network is projected to require only </w:t>
      </w:r>
      <w:r w:rsidDel="00000000" w:rsidR="00000000" w:rsidRPr="00000000">
        <w:rPr>
          <w:rFonts w:ascii="Google Sans" w:cs="Google Sans" w:eastAsia="Google Sans" w:hAnsi="Google Sans"/>
          <w:b w:val="1"/>
          <w:bCs w:val="1"/>
          <w:color w:val="1f1f1f"/>
          <w:rtl w:val="0"/>
        </w:rPr>
        <w:t xml:space="preserve">~743 GB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decisive </w:t>
      </w:r>
      <w:r w:rsidDel="00000000" w:rsidR="00000000" w:rsidRPr="00000000">
        <w:rPr>
          <w:rFonts w:ascii="Google Sans" w:cs="Google Sans" w:eastAsia="Google Sans" w:hAnsi="Google Sans"/>
          <w:b w:val="1"/>
          <w:bCs w:val="1"/>
          <w:color w:val="1f1f1f"/>
          <w:rtl w:val="0"/>
        </w:rPr>
        <w:t xml:space="preserve">32.8% reduction in total disk growth</w:t>
      </w:r>
      <w:r w:rsidDel="00000000" w:rsidR="00000000" w:rsidRPr="00000000">
        <w:rPr>
          <w:rFonts w:ascii="Google Sans" w:cs="Google Sans" w:eastAsia="Google Sans" w:hAnsi="Google Sans"/>
          <w:color w:val="1f1f1f"/>
          <w:rtl w:val="0"/>
        </w:rPr>
        <w:t xml:space="preserve">, proving that PQC aggregation definitively solves the memory problem inherent to lattice cryptography.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localized consumer experience is preserved through the deployment of cryptographic view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scanning a 500,000-block span to discover incoming funds, a full PQC check attempting to decapsulate every transaction mathematically requires approximately 5.2 hours (operating at roughly 10.0 µs per output).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QRing View Tags reduces this total scan time to a mere </w:t>
      </w:r>
      <w:r w:rsidDel="00000000" w:rsidR="00000000" w:rsidRPr="00000000">
        <w:rPr>
          <w:rFonts w:ascii="Google Sans" w:cs="Google Sans" w:eastAsia="Google Sans" w:hAnsi="Google Sans"/>
          <w:b w:val="1"/>
          <w:bCs w:val="1"/>
          <w:color w:val="1f1f1f"/>
          <w:rtl w:val="0"/>
        </w:rPr>
        <w:t xml:space="preserve">~3.1 minutes</w:t>
      </w:r>
      <w:r w:rsidDel="00000000" w:rsidR="00000000" w:rsidRPr="00000000">
        <w:rPr>
          <w:rFonts w:ascii="Google Sans" w:cs="Google Sans" w:eastAsia="Google Sans" w:hAnsi="Google Sans"/>
          <w:color w:val="1f1f1f"/>
          <w:rtl w:val="0"/>
        </w:rPr>
        <w:t xml:space="preserve"> (operating at ~0.01 µs per output)—a monumental 100x speedup that guarantees sub-millisecond wallet synchronization on everyday consumer hardware.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Commercialization and Regulatory Arbitrage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achieving unprecedented mathematical and engineering efficiency, the commercial viability of a post-quantum digital asset in 2026 relies heavily on deep market liquidity, which remains predominantly controlled by Tier-1 centralized exchanges (CEXs) such as Binance, Coinbase, and Kraken.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platforms handle the vast majority of global crypto trading volume and operate under strict evaluation frameworks designed to mitigate reputational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QRing protocol, traversing these listing hurdles is severely complicated by its status as a privacy-preserving cryptocurrency.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past several years, privacy coins have faced an intense wave of regulatory hostility, driven primarily by the Financial Action Task Force (FATF) Travel Rule and heightened Anti-Money Laundering (AML) directives.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most pressing regulatory obstacle in 2026 is the European Union’s Markets in Crypto-Assets Regulation (MiCAR), specifically Article 76(3).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article explicitly prohibits crypto-asset service providers (CASPs) from admitting assets with "inbuilt anonymisation functions" to trading unless the exchange can definitively identify token holders and their historical transaction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mandate has forced massive delistings of legacy privacy assets like Monero and Zcash across major platforms, shifting hundreds of millions of dollars in trading volume offline.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safely integrate with Tier-1 venues without triggering regulatory enforcement actions from entities like the SEC or violating alternative trading system (ATS) rules, QRing cannot rely on a pure, permanently unlinked anonymity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Pure anonymity models are fundamentally incompatible with modern CEX compliance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QRing employs an advanced selective disclosure framework designated as "Exchange Mode," explicitly engineered to completely satisfy MiCAR compliance mandates without compromising the fundamental cryptographic privacy of the decentralized peer-to-peer network.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definitive legal blueprint established by the successful 2026 listing of the Salvium (SAL) token, QRing utilizes several specific cryptographic conduits to interface with compliance oversight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Selective Disclosure via View Keys:</w:t>
      </w:r>
      <w:r w:rsidDel="00000000" w:rsidR="00000000" w:rsidRPr="00000000">
        <w:rPr>
          <w:rFonts w:ascii="Google Sans" w:cs="Google Sans" w:eastAsia="Google Sans" w:hAnsi="Google Sans"/>
          <w:color w:val="1f1f1f"/>
          <w:rtl w:val="0"/>
        </w:rPr>
        <w:t xml:space="preserve"> Centralized exchanges are provided with specific cryptographic view keys tied directly to their internal custodial wallets.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allows authorized compliance teams to selectively monitor incoming and outgoing transactions, proving the origin of funds for AML monitoring without exposing the broader decentralized network to surveillance.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Cryptographic View Tags:</w:t>
      </w:r>
      <w:r w:rsidDel="00000000" w:rsidR="00000000" w:rsidRPr="00000000">
        <w:rPr>
          <w:rFonts w:ascii="Google Sans" w:cs="Google Sans" w:eastAsia="Google Sans" w:hAnsi="Google Sans"/>
          <w:color w:val="1f1f1f"/>
          <w:rtl w:val="0"/>
        </w:rPr>
        <w:t xml:space="preserve"> Leveraging the highly truncated 1-byte hashes appended to the external transaction payloads, the protocol enables the rapid scanning and sorting of compliance-flagged transactions by the exchange's matching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guarantees high-throughput regulatory reporting without throttling exchange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Spend-Authority Proofs:</w:t>
      </w:r>
      <w:r w:rsidDel="00000000" w:rsidR="00000000" w:rsidRPr="00000000">
        <w:rPr>
          <w:rFonts w:ascii="Google Sans" w:cs="Google Sans" w:eastAsia="Google Sans" w:hAnsi="Google Sans"/>
          <w:color w:val="1f1f1f"/>
          <w:rtl w:val="0"/>
        </w:rPr>
        <w:t xml:space="preserve"> Specialized cryptographic proofs are embedded within the Carrot addressing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proofs facilitate automated return handling and provide exchanges with the mathematical evidence required to verify the absolute legitimacy of a transaction to national competent authorities.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Custodial Onboarding APIs:</w:t>
      </w:r>
      <w:r w:rsidDel="00000000" w:rsidR="00000000" w:rsidRPr="00000000">
        <w:rPr>
          <w:rFonts w:ascii="Google Sans" w:cs="Google Sans" w:eastAsia="Google Sans" w:hAnsi="Google Sans"/>
          <w:color w:val="1f1f1f"/>
          <w:rtl w:val="0"/>
        </w:rPr>
        <w:t xml:space="preserve"> Standardized, crypto-agile APIs interface seamlessly with the LACT+ aggregator.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exchange to securely tie a user's Know Your Customer (KYC) identity to their specific ephemeral outputs during the deposit phase, fulfilling strict MiCAR identity tracking mandates instantly.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proactively presenting this comprehensive "Exchange Mode" architecture to exchange listing committees alongside a formalized, independent legal opinion classifying the token as a utility, QRing definitively proves that advanced post-quantum cryptography and regulatory compliance are not mutually exclusive.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strategic positioning allows QRing to aggressively capture the massive influx of institutional capital currently seeking financial confidentiality in an era of extreme on-chain surveillance, while simultaneously assuring top-tier platforms that the asset poses absolutely zero regulatory contagion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QRing Performance and Listing Strategy.docx</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disentangled #1: “Harvest now, decrypt later” - The quantum threat is already here, accessed February 28, 2026, </w:t>
      </w:r>
      <w:hyperlink r:id="rId7">
        <w:r w:rsidDel="00000000" w:rsidR="00000000" w:rsidRPr="00000000">
          <w:rPr>
            <w:rFonts w:ascii="Google Sans" w:cs="Google Sans" w:eastAsia="Google Sans" w:hAnsi="Google Sans"/>
            <w:color w:val="0000ee"/>
            <w:sz w:val="24"/>
            <w:szCs w:val="24"/>
            <w:u w:val="single"/>
            <w:rtl w:val="0"/>
          </w:rPr>
          <w:t xml:space="preserve">https://technologyquotient.freshfields.com/post/102lx4l/quantum-disentangled-1-harvest-now-decrypt-later-the-quantum-threat-is-alr</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Post-Quantum Cryptography Support in Cryptographic Libraries - arXiv, accessed February 28, 2026, </w:t>
      </w:r>
      <w:hyperlink r:id="rId8">
        <w:r w:rsidDel="00000000" w:rsidR="00000000" w:rsidRPr="00000000">
          <w:rPr>
            <w:rFonts w:ascii="Google Sans" w:cs="Google Sans" w:eastAsia="Google Sans" w:hAnsi="Google Sans"/>
            <w:color w:val="0000ee"/>
            <w:sz w:val="24"/>
            <w:szCs w:val="24"/>
            <w:u w:val="single"/>
            <w:rtl w:val="0"/>
          </w:rPr>
          <w:t xml:space="preserve">https://arxiv.org/html/2508.16078v1</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Harvest Now, Decrypt Later (HNDL): The Quantum-Era Threat - Palo Alto Networks, accessed February 28, 2026, </w:t>
      </w:r>
      <w:hyperlink r:id="rId9">
        <w:r w:rsidDel="00000000" w:rsidR="00000000" w:rsidRPr="00000000">
          <w:rPr>
            <w:rFonts w:ascii="Google Sans" w:cs="Google Sans" w:eastAsia="Google Sans" w:hAnsi="Google Sans"/>
            <w:color w:val="0000ee"/>
            <w:sz w:val="24"/>
            <w:szCs w:val="24"/>
            <w:u w:val="single"/>
            <w:rtl w:val="0"/>
          </w:rPr>
          <w:t xml:space="preserve">https://www.paloaltonetworks.com/cyberpedia/harvest-now-decrypt-later-hndl</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Harvest-Now, Decrypt-Later: A Temporal Cybersecurity Risk in the Quantum Transition, accessed February 28, 2026, </w:t>
      </w:r>
      <w:hyperlink r:id="rId10">
        <w:r w:rsidDel="00000000" w:rsidR="00000000" w:rsidRPr="00000000">
          <w:rPr>
            <w:rFonts w:ascii="Google Sans" w:cs="Google Sans" w:eastAsia="Google Sans" w:hAnsi="Google Sans"/>
            <w:color w:val="0000ee"/>
            <w:sz w:val="24"/>
            <w:szCs w:val="24"/>
            <w:u w:val="single"/>
            <w:rtl w:val="0"/>
          </w:rPr>
          <w:t xml:space="preserve">https://www.mdpi.com/2673-4001/6/4/100</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Thales Data Threat Report, accessed February 28, 2026, </w:t>
      </w:r>
      <w:hyperlink r:id="rId11">
        <w:r w:rsidDel="00000000" w:rsidR="00000000" w:rsidRPr="00000000">
          <w:rPr>
            <w:rFonts w:ascii="Google Sans" w:cs="Google Sans" w:eastAsia="Google Sans" w:hAnsi="Google Sans"/>
            <w:color w:val="0000ee"/>
            <w:sz w:val="24"/>
            <w:szCs w:val="24"/>
            <w:u w:val="single"/>
            <w:rtl w:val="0"/>
          </w:rPr>
          <w:t xml:space="preserve">https://cpl.thalesgroup.com/data-threat-report</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 threat or opportunity? - Chris Skinner's blog, accessed February 28, 2026, </w:t>
      </w:r>
      <w:hyperlink r:id="rId12">
        <w:r w:rsidDel="00000000" w:rsidR="00000000" w:rsidRPr="00000000">
          <w:rPr>
            <w:rFonts w:ascii="Google Sans" w:cs="Google Sans" w:eastAsia="Google Sans" w:hAnsi="Google Sans"/>
            <w:color w:val="0000ee"/>
            <w:sz w:val="24"/>
            <w:szCs w:val="24"/>
            <w:u w:val="single"/>
            <w:rtl w:val="0"/>
          </w:rPr>
          <w:t xml:space="preserve">https://thefinanser.com/2026/01/quantum-computing-a-threat-or-opportunity</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Threat - Citi, accessed February 28, 2026, </w:t>
      </w:r>
      <w:hyperlink r:id="rId13">
        <w:r w:rsidDel="00000000" w:rsidR="00000000" w:rsidRPr="00000000">
          <w:rPr>
            <w:rFonts w:ascii="Google Sans" w:cs="Google Sans" w:eastAsia="Google Sans" w:hAnsi="Google Sans"/>
            <w:color w:val="0000ee"/>
            <w:sz w:val="24"/>
            <w:szCs w:val="24"/>
            <w:u w:val="single"/>
            <w:rtl w:val="0"/>
          </w:rPr>
          <w:t xml:space="preserve">https://www.citigroup.com/rcs/citigpa/storage/public/Citi_Institute_Quantum_Threat.pdf</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Financial Infrastructure Framework (PQFIF) - SEC.gov, accessed February 28, 2026, </w:t>
      </w:r>
      <w:hyperlink r:id="rId14">
        <w:r w:rsidDel="00000000" w:rsidR="00000000" w:rsidRPr="00000000">
          <w:rPr>
            <w:rFonts w:ascii="Google Sans" w:cs="Google Sans" w:eastAsia="Google Sans" w:hAnsi="Google Sans"/>
            <w:color w:val="0000ee"/>
            <w:sz w:val="24"/>
            <w:szCs w:val="24"/>
            <w:u w:val="single"/>
            <w:rtl w:val="0"/>
          </w:rPr>
          <w:t xml:space="preserve">https://www.sec.gov/files/cft-written-input-daniel-bruno-corvelo-costa-090325.pdf</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Quantum Cryptography: A 12 Month Playbook for Digital Trust Professionals - ISACA, accessed February 28, 2026, </w:t>
      </w:r>
      <w:hyperlink r:id="rId15">
        <w:r w:rsidDel="00000000" w:rsidR="00000000" w:rsidRPr="00000000">
          <w:rPr>
            <w:rFonts w:ascii="Google Sans" w:cs="Google Sans" w:eastAsia="Google Sans" w:hAnsi="Google Sans"/>
            <w:color w:val="0000ee"/>
            <w:sz w:val="24"/>
            <w:szCs w:val="24"/>
            <w:u w:val="single"/>
            <w:rtl w:val="0"/>
          </w:rPr>
          <w:t xml:space="preserve">https://www.isaca.org/resources/news-and-trends/isaca-now-blog/2026/post-quantum-cryptography-a-12-month-playbook-for-digital-trust-professionals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DU | University of Minnesota, Minneapolis | UMN | Department of Computer Science and Engineering | Research profile - ResearchGate, accessed February 28,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https://www.researchgate.net/profile/David-Du-3</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Yibo Lin, Author at SIGDA - Page 2 of 10, accessed February 28, 2026, </w:t>
      </w:r>
      <w:hyperlink r:id="rId17">
        <w:r w:rsidDel="00000000" w:rsidR="00000000" w:rsidRPr="00000000">
          <w:rPr>
            <w:rFonts w:ascii="Google Sans" w:cs="Google Sans" w:eastAsia="Google Sans" w:hAnsi="Google Sans"/>
            <w:color w:val="0000ee"/>
            <w:sz w:val="24"/>
            <w:szCs w:val="24"/>
            <w:u w:val="single"/>
            <w:rtl w:val="0"/>
          </w:rPr>
          <w:t xml:space="preserve">https://www.sigda.org/author/admin62464265/page/2/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pl.thalesgroup.com/data-threat-report" TargetMode="External"/><Relationship Id="rId10" Type="http://schemas.openxmlformats.org/officeDocument/2006/relationships/hyperlink" Target="https://www.mdpi.com/2673-4001/6/4/100" TargetMode="External"/><Relationship Id="rId13" Type="http://schemas.openxmlformats.org/officeDocument/2006/relationships/hyperlink" Target="https://www.citigroup.com/rcs/citigpa/storage/public/Citi_Institute_Quantum_Threat.pdf" TargetMode="External"/><Relationship Id="rId12" Type="http://schemas.openxmlformats.org/officeDocument/2006/relationships/hyperlink" Target="https://thefinanser.com/2026/01/quantum-computing-a-threat-or-opportun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loaltonetworks.com/cyberpedia/harvest-now-decrypt-later-hndl" TargetMode="External"/><Relationship Id="rId15" Type="http://schemas.openxmlformats.org/officeDocument/2006/relationships/hyperlink" Target="https://www.isaca.org/resources/news-and-trends/isaca-now-blog/2026/post-quantum-cryptography-a-12-month-playbook-for-digital-trust-professionals" TargetMode="External"/><Relationship Id="rId14" Type="http://schemas.openxmlformats.org/officeDocument/2006/relationships/hyperlink" Target="https://www.sec.gov/files/cft-written-input-daniel-bruno-corvelo-costa-090325.pdf" TargetMode="External"/><Relationship Id="rId17" Type="http://schemas.openxmlformats.org/officeDocument/2006/relationships/hyperlink" Target="https://www.sigda.org/author/admin62464265/page/2/" TargetMode="External"/><Relationship Id="rId16" Type="http://schemas.openxmlformats.org/officeDocument/2006/relationships/hyperlink" Target="https://www.researchgate.net/profile/David-Du-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technologyquotient.freshfields.com/post/102lx4l/quantum-disentangled-1-harvest-now-decrypt-later-the-quantum-threat-is-alr" TargetMode="External"/><Relationship Id="rId8" Type="http://schemas.openxmlformats.org/officeDocument/2006/relationships/hyperlink" Target="https://arxiv.org/html/2508.16078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