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Qubit Protocol: Post-Quantum Layer 2 Smart Contract Execution and zk-Rollup Integration on the QRing Network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Quantum Horizon and the Layer 2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acceleration of quantum computing research has catalyzed a definitive and existential threat to the cryptographic foundations of the global digital economy, profoundly impacting privacy-preserving decentralized ledgers.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 digital infrastructure, which secures banking applications, private communications, and digital asset holdings, relies on mathematical puzzles that are virtually impossible for standard classical computers to solve.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quantum computers operate on the principles of quantum mechanics, utilizing qubits that can exist in a state of superposition.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unique property enables quantum processors to evaluate massive theoretical combinations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impending viability of cryptographically relevant quantum computers executing Shor’s algorithm threatens to solve these foundational mathematical puzzles—specifically the Elliptic Curve Discrete Logarithm Problem (ECDLP) and the Integer Factorization Problem—in polynomial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transparent blockchain ledgers, this implies the catastrophic potential for forged signatures and the outright theft of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privacy-centric networks, the threat is exponentially more devastating, as adversarial entities could retroactively de-anonymize the entire blockchain history, expose historical user balances, trace obfuscated transactions, and forge spend authorizations to silently hyper-inflate the monetary supply.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vulnerability is actively compounded by the aggressive proliferation of the "Harvest Now, Decrypt Later" (HNDL)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Cybercriminals and nation-state adversaries are currently intercepting and capturing vast quantities of encrypted data traffic, funneling this ciphertext into massive, long-term storage repositories.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explicit intent is to archive this data until quantum machines achieve sufficient logical qubit stability, at which point the adversaries will deploy quantum algorithms to decrypt the decades-old archives.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response, global regulatory bodies have mobilized. The United States National Institute of Standards and Technology (NIST) finalized its principal set of post-quantum cryptography (PQC) standards in late 2024, deploying FIPS 203 based on the Module-Lattice-Based Key-Encapsulation Mechanism (ML-KEM) and FIPS 204 based on the Module-Lattice-Based Digital Signature Algorithm (ML-DSA).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QRing protocol was engineered to directly address this ticking cryptographic clock.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Architected as a standalone, post-quantum hardfork derived from the Monero network ecosystem, QRing completely abandons vulnerable elliptic curve assumptions in favor of a mathematically secure hybrid lattice-based cryptographic suite.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advanced lattice protocols, QRing establishes an impenetrable Layer 1 (L1) settlement foundation.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while QRing achieves unprecedented scalability and privacy as a decentralized store of value, its core architecture is rigidly optimized for peer-to-peer payments and confidential settlement.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broader digital asset market increasingly demands programmable, Turing-complete environments capable of executing complex decentralized finance (DeFi) applications, automated market makers (AMMs), and sophisticated decentralized identity frameworks. Attempting to force heavy, lattice-based smart contracts directly onto the QRing base layer would precipitate exponential blockchain bloat, rapidly pushing the ledger size into the terabytes, centralizing node operation, and degrading the user experience.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architectural solution is the implementation of a secondary execution environment: the Qubit protocol. Designed as a post-quantum Layer 2 (L2) zero-knowledge rollup (zk-Rollup) built directly atop the QRing network, the Qubit protocol facilitates high-throughput, programmable Web3 functionality.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Within this ecosystem, users safely lock their L1 assets to "mint" Qubits—the native utility token and computational fuel of the L2 network.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 the QRing public testnet scheduled to launch on March 7th at 1:00 PM MST for whitelisted users, establishing the precise architectural parameters, cryptographic verification mechanisms, and hardware optimization strategies of the Qubit protocol is an urgent engineering imperative [User Query]. This comprehensive report defines the optimal implementation of the Qubit L2 protocol, exploring advanced lattice-based folding schemes, WebAssembly (WASM) virtual machine optimizations, secure cross-layer bridging mechanics, and the symbiotic economic relationship between the Qubit execution layer and the QRing cold storage layer.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QRing Layer 1 Foundation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architect a seamless and secure Layer 2 protocol, one must first deeply analyze the underlying Layer 1 settlement engine. The QRing network functions as an optimal cold storage and settlement layer because it has systematically dismantled the vulnerabilities of legacy cryptography and mitigated the profound data footprint challenges historically associated with post-quantum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Understanding these base-layer mechanics is essential, as the Qubit protocol must inherit and interface with these cryptographic primitives without introducing secondary attack vectors.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Restoring Privacy Primitives Against Quantum Cryptanalysis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legacy Monero protocol relies on a highly complex, interdependent stack of cryptographic primitives anchored entirely to elliptic curve cryptography.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protect recipient identity, legacy systems utilize a Dual-Key Stealth Address Protocol based on elliptic curve Diffie-Hellman (ECDH) key exchanges.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quantum adversary could trivially derive the recipient's private keys directly from their publicly posted stealth meta-address, breaking receiver unlinkability.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QRing resolves this by replacing the classical protocol with a Key Encapsulation Mechanism (KEM) providing indistinguishability under chosen-ciphertext attack (IND-CCA).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QRing targets the Kyber768 parameter set within the Module Learning With Errors (Module-LWE)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the severe computational burden of forcing recipient wallets to mathematically decapsulate every network transaction, QRing integrates cryptographic view tags.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view tag is a highly truncated, one-byte cryptographic hash of the shared secret appended directly to the transaction payload.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single byte mathematically filters out 99.6% of all network transactions instantly, accelerating total blockchain scanning times by two full orders of magnitude and preserving sub-millisecond synchronization speeds.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obscure the true sender of a transaction, classical systems utilize Concise Linkable Spontaneous Anonymous Group (CLSAG) ring signatures, which are entirely dependent on the discrete logarithm assumption.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QRing transitions to Full-Chain Membership Proofs (FCMP++) integrated with the MatRiCT+ protocol.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profound cryptographic leap alters how privacy scales, utilizing an anonymity set that incorporates the entire history of the ledger—encompassing over one hundred million historical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MatRiCT+ completely bypasses costly binary proof components by proving membership utilizing an inner-product-based linear equation satisfiability approach.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by exploiting the highly-splitting algebraic properties of power-of-two cyclotomic rings and a novel "partition-and-sample" technique, the protocol generates theoretically optimal challenge spaces that minimize the mathematical norm and compress the required proof data logarithmically.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Blockchain Bloat via LACT+ and Lantern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formidable obstacle in deploying lattice-based cryptography is the inherently large size of the resulting signatures and commitments.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continuous accumulation of static lattice signatures would precipitate severe blockchain bloat.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guarantee that the QRing base layer remains verifiable by standard consumer hardware over the ensuing decades, the architecture implements Lattice-Based Aggregable Confidential Transactions (LACT+).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LACT+ introduces the concept of trustless immutability through mathematically verifiable transaction aggregation.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Multiple individual transactions are mathematically aggregated into a single, highly compressed transaction block, empowering the decentralized network to permanently delete intermediate spent coin records and discard redundant signature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engine driving LACT+ is built upon the Approximate Modular Short Integer Solution (Approx-SIS)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maximize efficiency, coins within the QRing network are mathematically stored in their binary bit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protocol utilizes optimized "logarithmic carry proofs" to mathematically fix the summation across multiple inputs and outputs at a strictly logarithmic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compression reduces a confidential monetary value commitment down to an optimized 3.87 kilobytes.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Immutability is strictly maintained without relying on trusted third parties via constant-size activity proofs embedded directly into the transaction headers, which statically measure exactly 49 bytes regardless of transaction complexity.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replace the quantum-vulnerable Bulletproofs algorithm, which historically obscured monetary values but relied on the discrete logarithm assumption, QRing deploys the advanced Lantern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Lantern framework utilizes an innovative "approximate range proof" mechanism, completely bypassing inefficient binary Chinese Remainder Theorem (CRT)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mathematically isolating the inner product of two secret vectors strictly into the constant coefficient of a generated polynomial product, Lantern proves knowledge of an inner product directly and efficiently, compressing the resulting range proof for a standard 64-bit transaction down to approximately 13 kilobytes.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synthesis of these mechanisms yields a base layer that actively outperforms classical cryptographic efficiency, rendering QRing an exceptional settlement layer for secondary protocols.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Vanilla Monero (Classical ECC)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QRing LACT+ Aggregated (Post-Quantum)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 / Underlying Optimization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Serialized Transaction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~116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 smaller (Amortized linear forms; shared Fiat-Shamir challenge; Approx-SIS)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Verification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 faster (Dilithium3 Span Batch Verification; AVX2-optimized pipelines)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Propagation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 faster (Bitcoin-style Compact Block gossip; Header + 49-byte proofs)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1M-block Chain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~1,106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743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32.8% smaller (Consensus-level pruning; LACT+ aggregation)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Conceptualizing the Qubit Protocol: The Post-Quantum Execution Layer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QRing flawlessly executes confidential value transfer, introducing Turing-complete smart contracts directly to this base layer would fundamentally compromise the mathematical aggregation techniques achieved by LACT+. The Qubit protocol is specifically architected as a post-quantum Layer 2 zero-knowledge rollup (zk-Rollup) designed to intercept and execute complex programmatic state transitions.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separating the execution environment from the consensus and data availability layer, the ecosystem achieves massive horizontal scalability while inheriting the absolute quantum resistance and immutability of the QRing base chain.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L1-to-L2 Relationship and Qubit Minting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dynamic between QRing and the Qubit protocol is defined by their distinct but highly complementary roles. QRing serves strictly as a cold storage of value and a final settlement engine. It handles high-value, low-frequency transactions where absolute privacy and quantum resistance are prioritized over complex programmatic interactions. Conversely, the Qubit network operates as the high-velocity, programmable execution layer where users engage with decentralized finance, tokenized asset trading, and non-fungible digital assets.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interact with the Layer 2 ecosystem, users must transfer their purchasing power from the cold storage layer to the execution layer. This is accomplished through a specialized two-way peg mechanism known as the Qubit Minting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QRing user wishes to participate in the Web3 ecosystem, they initiate a "Lock and Mint" transaction on the Layer 1 network. The user broadcasts a transaction utilizing the native LACT+ protocol, routing their confidential outputs to a highly secure, threshold-governed L1 bridge enclave controlled by the rollup's decentralized sequencer 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QRing network achieves consensus on this locking transaction, the user generates a zero-knowledge attestation proving the exact committed value and the cryptographic binding to their L2 address, all without revealing their broader historical financial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verifying this cryptographic proof, the Qubit L2 protocol mints a commensurate, mathematically equivalent supply of "Qubits" directly into the user's programmable L2 wallet.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newly minted Qubits serve as the fundamental economic unit of the secondary layer, acting both as the base liquidity pair for decentralized exchanges and as the "gas" required to meter computational resources, compensating sequencer nodes and actively preventing denial-of-service (DoS) attacks on the virtual machine.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Quantum Entropy for Smart Contract Integrity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Qubit protocol is not merely a scaling solution; it actively leverages quantum mechanics to enhance the structural integrity of Web3 applications. A persistent and critical vulnerability in classical smart contract architectures is the generation of on-chain randomness. Traditional blockchains rely on pseudo-random number generators derived from block hashes, timestamps, or centralized oracles, making them highly susceptible to manipulation by block producers or sequencer front-running.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flaw regularly compromises decentralized lotteries, fair NFT minting, and proof-of-stake leader selection.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Qubit protocol natively integrates the foundational mechanics of the QRiNG (Quantum Random Number Generator) framework directly into its execution layer.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harnessing the fundamental properties of quantum mechanics—where subatomic particles existing in a state of superposition yield genuinely unpredictable outcomes upon measurement—the Qubit network provides a continuous, cryptographically secure stream of true quantum entropy.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mechanism achieves an entropy rate greater than 0.99 bits per qubit, closely approaching the theoretical maximum for absolute randomness.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quantum randomness is exposed to smart contract developers via dedicated native Application Programming Interfaces (APIs), allowing decentralized applications to execute provably fair algorithmic processes, unbiased gaming mechanics, and entirely secure post-quantum cryptographic key generations directly within the L2 environment without relying on external, trust-based oracles.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Post-Quantum zk-Rollup Architecture and Lattice-Based Folding Schemes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the economic viability of the Qubit network, thousands of off-chain transactions must be periodically settled back to the QRing L1 in a highly compressed format. This necessitates a zero-knowledge rollup infrastructure.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legacy zk-Rollups rely heavily on SNARKs or STARKs constructed using elliptic curve pairings (e.g., BN254 or BLS12-381) and discrete-logarithmic homomorphic commitments.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these classical mathematical structures are fundamentally vulnerable to Shor's algorithm, porting a traditional rollup architecture to the QRing network would completely negate its post-quantum security guarantees.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Qubit protocol must implement a purely lattice-based rollup architecture.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Incrementally Verifiable Computation (IVC)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sheer volume of transactions processed by the Qubit sequencer mandates a proof generation strategy that avoids forcing the prover to load the entire network state into memory simultaneously.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optimal cryptographic approach is Incrementally Verifiable Computation (IVC), which allows the sequencer to break the massive task of constructing a global state proof into small, sequential steps, processing transactions instantaneously as they arrive in the mempool.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cryptographic engine that makes IVC possible is the "folding scheme."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Folding schemes operate by compressing multiple instances of a problem into a single instance of the identical size.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the context of the Qubit rollup, two sequential state transition proofs are mathematically "folded" together, and the resulting folded proof is subsequently folded with the next incoming transaction, ensuring the memory footprint remains constant regardless of transaction volume.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until recent breakthroughs, highly efficient folding protocols such as Nova, Supernova, and Hypernova relied exclusively on discrete-log commitments, lacking post-quantum viability.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from LatticeFold to Neo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true post-quantum recursive scaling, the Qubit protocol integrates the foundational mathematics of the </w:t>
      </w:r>
      <w:r w:rsidDel="00000000" w:rsidR="00000000" w:rsidRPr="00000000">
        <w:rPr>
          <w:rFonts w:ascii="Google Sans" w:cs="Google Sans" w:eastAsia="Google Sans" w:hAnsi="Google Sans"/>
          <w:i w:val="1"/>
          <w:iCs w:val="1"/>
          <w:color w:val="1f1f1f"/>
          <w:rtl w:val="0"/>
        </w:rPr>
        <w:t xml:space="preserve">LatticeFold</w:t>
      </w:r>
      <w:r w:rsidDel="00000000" w:rsidR="00000000" w:rsidRPr="00000000">
        <w:rPr>
          <w:rFonts w:ascii="Google Sans" w:cs="Google Sans" w:eastAsia="Google Sans" w:hAnsi="Google Sans"/>
          <w:color w:val="1f1f1f"/>
          <w:rtl w:val="0"/>
        </w:rPr>
        <w:t xml:space="preserve"> protocol and its highly optimized successor, the </w:t>
      </w:r>
      <w:r w:rsidDel="00000000" w:rsidR="00000000" w:rsidRPr="00000000">
        <w:rPr>
          <w:rFonts w:ascii="Google Sans" w:cs="Google Sans" w:eastAsia="Google Sans" w:hAnsi="Google Sans"/>
          <w:i w:val="1"/>
          <w:iCs w:val="1"/>
          <w:color w:val="1f1f1f"/>
          <w:rtl w:val="0"/>
        </w:rPr>
        <w:t xml:space="preserve">Neo</w:t>
      </w:r>
      <w:r w:rsidDel="00000000" w:rsidR="00000000" w:rsidRPr="00000000">
        <w:rPr>
          <w:rFonts w:ascii="Google Sans" w:cs="Google Sans" w:eastAsia="Google Sans" w:hAnsi="Google Sans"/>
          <w:color w:val="1f1f1f"/>
          <w:rtl w:val="0"/>
        </w:rPr>
        <w:t xml:space="preserve"> folding scheme.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LatticeFold represents the vital first generation of lattice-based folding protocols, constructed securely upon the established hardness of the Module Short Integer Solution (Module-SIS) problem and utilizing the additively homomorphic Ajtai commitment scheme.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primary technical hurdle overcome by LatticeFold is ensuring that the extracted cryptographic witnesses maintain a sufficiently low mathematical norm through hundreds of rounds of continuous folding. It achieves this by utilizing a novel sum-check protocol to aggressively prevent the polynomial coefficients from overflowing their modulus bounds.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LatticeFold operates effectively, its reliance on cyclotomic polynomial rings imposes severe computational overheads during witness commitment and actively restricts the choice of underlying prime fields.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circumvent these inefficiencies, the Qubit protocol directly implements the </w:t>
      </w:r>
      <w:r w:rsidDel="00000000" w:rsidR="00000000" w:rsidRPr="00000000">
        <w:rPr>
          <w:rFonts w:ascii="Google Sans" w:cs="Google Sans" w:eastAsia="Google Sans" w:hAnsi="Google Sans"/>
          <w:i w:val="1"/>
          <w:iCs w:val="1"/>
          <w:color w:val="1f1f1f"/>
          <w:rtl w:val="0"/>
        </w:rPr>
        <w:t xml:space="preserve">Neo</w:t>
      </w:r>
      <w:r w:rsidDel="00000000" w:rsidR="00000000" w:rsidRPr="00000000">
        <w:rPr>
          <w:rFonts w:ascii="Google Sans" w:cs="Google Sans" w:eastAsia="Google Sans" w:hAnsi="Google Sans"/>
          <w:color w:val="1f1f1f"/>
          <w:rtl w:val="0"/>
        </w:rPr>
        <w:t xml:space="preserve"> folding scheme. Neo is specifically architected for the Custom Constraint System (CCS) relation—which seamlessly generalizes standard arithmetizations such as R1CS, Plonkish, and AIR—and introduces three critical architectural optimizations to the rollup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Small Prime Field Native Support:</w:t>
      </w:r>
      <w:r w:rsidDel="00000000" w:rsidR="00000000" w:rsidRPr="00000000">
        <w:rPr>
          <w:rFonts w:ascii="Google Sans" w:cs="Google Sans" w:eastAsia="Google Sans" w:hAnsi="Google Sans"/>
          <w:color w:val="1f1f1f"/>
          <w:rtl w:val="0"/>
        </w:rPr>
        <w:t xml:space="preserve"> Unlike LatticeFold, which demands restrictive cyclotomic rings, Neo natively defines constraints over highly efficient "small" prime fields, such as the Goldilocks prime (</w:t>
      </w:r>
      <w:r w:rsidDel="00000000" w:rsidR="00000000" w:rsidRPr="00000000">
        <w:rPr>
          <w:rFonts w:ascii="Google Sans" w:cs="Google Sans" w:eastAsia="Google Sans" w:hAnsi="Google Sans"/>
          <w:color w:val="1f1f1f"/>
        </w:rPr>
        <w:drawing>
          <wp:inline distB="19050" distT="19050" distL="19050" distR="19050">
            <wp:extent cx="1004297" cy="21465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4297" cy="214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the Mersenne 61 prime (</w:t>
      </w:r>
      <w:r w:rsidDel="00000000" w:rsidR="00000000" w:rsidRPr="00000000">
        <w:rPr>
          <w:rFonts w:ascii="Google Sans" w:cs="Google Sans" w:eastAsia="Google Sans" w:hAnsi="Google Sans"/>
          <w:color w:val="1f1f1f"/>
        </w:rPr>
        <w:drawing>
          <wp:inline distB="19050" distT="19050" distL="19050" distR="19050">
            <wp:extent cx="548283" cy="21322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283" cy="213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the folding verifier circuit to utilize highly optimized, native 64-bit integer arithmetic, completely bypassing the need to emulate massive 256-bit scalar fields.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Pay-Per-Bit Ajtai Commitments:</w:t>
      </w:r>
      <w:r w:rsidDel="00000000" w:rsidR="00000000" w:rsidRPr="00000000">
        <w:rPr>
          <w:rFonts w:ascii="Google Sans" w:cs="Google Sans" w:eastAsia="Google Sans" w:hAnsi="Google Sans"/>
          <w:color w:val="1f1f1f"/>
          <w:rtl w:val="0"/>
        </w:rPr>
        <w:t xml:space="preserve"> The most profound performance innovation within Neo is its folding-friendly instantiation of Ajtai commitments, where the computational cost scales directly with the bit-width of the scalars rather than the absolute size of the value.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transforming input vectors into matrices prior to commitment, committing to an array of Boolean bits becomes 32 to 64 times cheaper than committing to full 64-bit integers.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massively accelerates the Qubit L2 prover, drastically lowering the hardware barriers for sequencer operation.</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Simplified Sum-Check Protocol:</w:t>
      </w:r>
      <w:r w:rsidDel="00000000" w:rsidR="00000000" w:rsidRPr="00000000">
        <w:rPr>
          <w:rFonts w:ascii="Google Sans" w:cs="Google Sans" w:eastAsia="Google Sans" w:hAnsi="Google Sans"/>
          <w:color w:val="1f1f1f"/>
          <w:rtl w:val="0"/>
        </w:rPr>
        <w:t xml:space="preserve"> Neo executes a single, streamlined invocation of the sum-check protocol over an extension of the small prime field.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elegant mathematical maneuver avoids the highly complex and sluggish inverse Number Theoretic Transforms (iNTT) over cyclotomic rings that throttled earlier lattice folding iterations.</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zk-Rollups (e.g., Groth16, Plonk)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LatticeFold (Module-SIS)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Neo Folding Scheme (CCS)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Assumption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Discrete Logarithm / Pairings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Module-SIS (Lattice)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Module-SIS (Lattice)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Quantum Resistance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Vulnerable to Shor's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Plausibly Post-Quantum Secure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Plausibly Post-Quantum Secure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 Arithmetization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R1CS / Plonkish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Cyclotomic Polynomial 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Constraint System (CCS)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Fields (256-bit, e.g., BN254)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Restricted (Requires high 2-adicity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Prime Fields (e.g., Goldilocks 64-bit)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Commitment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Cost per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Overhead (Ring 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"Pay-per-bit" Ajtai Commitments</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the implementation of the Neo architecture, the Qubit sequencer can continuously and recursively fold millions of L2 smart contract state transitions into a single, compact Module-SIS instance. For final settlement on the QRing L1, this folded instance is compressed via a SNARK utilizing a Fast Reed-Solomon Interactive Oracle Proofs of Proximity (FRI) based polynomial commitment scheme.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maintains absolute post-quantum security while reducing the final proof size to a payload suitable for embedding within a LACT+ transaction header on the QRing network.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the Qubit Virtual Machine: The PQ-WASM Engine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execution of post-quantum cryptography within a decentralized smart contract environment demands a fundamental reimagining of the underlying blockchain virtual machine. The classical Ethereum Virtual Machine (EVM), which utilizes a rigid 256-bit word size and lacks native operational support for massive matrix-vector mathematics, is profoundly inadequate for executing lattice-based cryptographic algorithms.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the network attempted to force the EVM to execute heavy Dilithium signature verifications or complex Kyber decapsulations, the resulting gas accounting discrepancies and memory management bottlenecks would throttle network throughput to unviable, single-digit transactions per second.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unconditionally resolve this computational bottleneck, the Qubit execution layer Abandons EVM constraints and is built exclusively upon a Post-Quantum WebAssembly (PQ-WASM) virtual machine architecture.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WebAssembly is a highly portable, structurally secure bytecode designed for near-native execution velocities, natively operating on standard 32-bit and 64-bit integer architectures.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Because advanced lattice cryptography relies predominantly on relatively small mathematical moduli (for example, </w:t>
      </w:r>
      <w:r w:rsidDel="00000000" w:rsidR="00000000" w:rsidRPr="00000000">
        <w:rPr>
          <w:rFonts w:ascii="Google Sans" w:cs="Google Sans" w:eastAsia="Google Sans" w:hAnsi="Google Sans"/>
          <w:color w:val="1f1f1f"/>
        </w:rPr>
        <w:drawing>
          <wp:inline distB="19050" distT="19050" distL="19050" distR="19050">
            <wp:extent cx="703540" cy="2370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03540" cy="237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ML-KEM algorithms), these operations fit flawlessly into standard WASM integer 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alignment completely bypasses the expensive, sluggish 256-bit arithmetic emulation required by legacy EVM environments, allowing the Qubit protocol to process post-quantum smart contracts natively and rapidly.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Optimization of Polynomial Arithmetic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operational bottleneck within any lattice-based virtual machine is polynomial multiplication over finite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mathematically accelerate this intense process, the PQ-WASM engine heavily utilizes the Number Theoretic Transform (NTT), a specialized variant of the Fast Fourier Transform defined specifically over a finite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Optimizing the NTT and its underlying modular arithmetic is the absolute most critical engineering task for maximizing smart contract throughput on the Qubit L2.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core NTT butterfly operations, polynomial coefficient multiplications must be immediately followed by modular reductions. The specific choice of reduction algorithm directly dictates the instruction count, pipeline latency, and register pressure imposed on the node's processing unit.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Qubit VM applies context-specific algorithmic optimizations depending on the mathematical operation: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Hybrid Barrett Multiplication:</w:t>
      </w:r>
      <w:r w:rsidDel="00000000" w:rsidR="00000000" w:rsidRPr="00000000">
        <w:rPr>
          <w:rFonts w:ascii="Google Sans" w:cs="Google Sans" w:eastAsia="Google Sans" w:hAnsi="Google Sans"/>
          <w:color w:val="1f1f1f"/>
          <w:rtl w:val="0"/>
        </w:rPr>
        <w:t xml:space="preserve"> Utilized primarily for asymmetric matrix-vector polynomial products. This technique approximates mathematical division using precomputed constants, completely replacing complex modulo operations with rapid hardware bit-shifts.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hybrid variant computes modular multiplication using exactly three integer multiplications, optimizing it flawlessly for SIMD vectorization.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Signed Montgomery Reduction:</w:t>
      </w:r>
      <w:r w:rsidDel="00000000" w:rsidR="00000000" w:rsidRPr="00000000">
        <w:rPr>
          <w:rFonts w:ascii="Google Sans" w:cs="Google Sans" w:eastAsia="Google Sans" w:hAnsi="Google Sans"/>
          <w:color w:val="1f1f1f"/>
          <w:rtl w:val="0"/>
        </w:rPr>
        <w:t xml:space="preserve"> Applied to general lattice polynomial multiplication utilizing specific small moduli. Standard Montgomery reduction transforms values to bypass division instructions; however, by implementing a signed variant, the absolute mathematical range remains strictly bounded.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completely eliminates the need for the costly final conditional subtraction processes required by unsigned variants, as coefficients never exceed standard word sizes during NTT computations.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Improved Plantard Arithmetic:</w:t>
      </w:r>
      <w:r w:rsidDel="00000000" w:rsidR="00000000" w:rsidRPr="00000000">
        <w:rPr>
          <w:rFonts w:ascii="Google Sans" w:cs="Google Sans" w:eastAsia="Google Sans" w:hAnsi="Google Sans"/>
          <w:color w:val="1f1f1f"/>
          <w:rtl w:val="0"/>
        </w:rPr>
        <w:t xml:space="preserve"> Engineered specifically for resource-constrained Internet of Things (IoT) devices and low-power hardware interacting with the Qubit network. The improved Plantard method fundamentally saves one full multiplication cycle during constant modular multiplication compared to baseline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vastly enlarges the permissible input range, enabling highly aggressive "lazy reduction" strategies where intermediate addition and subtraction modulos are entirely skipped until the absolute final step of the polynomial evaluation, drastically lowering CPU cycle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Hardware Vectorization and Acceleration Paradigms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execution speeds necessary for a global Web3 platform, the PQ-WASM environment on the Qubit protocol is tightly coupled with advanced hardware vector instruction sets, moving definitively away from classical scalar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Qubit node software features dynamic hardware probing, instantly detecting the host machine's architecture and routing complex cryptographic workloads through highly specialized silicon execution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AVX-512 and Integer Fused Multiply-Add (IFMA)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high-performance validator nodes and centralized L2 sequencers operating on enterprise x86 architectures, the PQ-WASM engine leverages Advanced Vector Extensions 512 (AVX-512).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the software exploits the Integer Fused Multiply-Add (IFMA) instruction set. This critical hardware feature executes concurrent 52-bit by 52-bit to 104-bit positive integer multiplications within a single operational clock cycle, accumulating the results directly into a 64-bit operand.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meticulously vectorizing constant-time rejection sampling and polynomial arithmetic routines, AVX-512 allows the Qubit VM to process up to sixteen independent polynomials simultaneously across a massive 512-bit wide register.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deep vectorization drastically lowers the verification latency of smart contract state proofs, allowing the L2 sequencer to process complex DeFi computations and AMM routing without CPU stalling.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ARMv9-A SVE2 and SME MatNTT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Qubit protocol prioritizes decentralization and aims to support lightweight mobile nodes, the virtual machine includes tailored optimization for the ARMv9-A architecture, specifically utilizing the Scalable Vector Extension 2 (SVE2) and the Scalable Matrix Extension (SME).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legacy, fixed-width NEON instructions, SVE2 yields the full product of a 32-bit widening integer multiplication in a single instruction, practically eliminating data dependencies in out-of-order execution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hardware optimization within the mobile VM environment is the transition from standard vector-based Number Theoretic Transforms (VecNTT) to a matrix-based NTT (MatNTT) via the SME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leveraging the specialized ZA storage arrays inherent to the SME architecture, the VM orchestrates highly sequential data access patterns. This hybrid vector-matrix approach allows cryptographic twiddle factors to be reused efficiently across register pairs, reducing the required twiddle factor table size by approximately 65% and practically eliminating L1 cache misses.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Empirical benchmarking demonstrates that SME MatNTT execution achieves staggering speedups of up to 7.77x compared to standard scalar implementations, cementing it as a mandatory optimization for ensuring sub-millisecond smart contract synchronization on consumer mobile hardware.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 Set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Cryptographic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 for Qubit VM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x86 Processors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AVX-512 (IFMA)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Processes 16 independent polynomials simultaneously across 512-bit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&gt;34% improvement in verification latency; eliminates sequencer bottlenecks.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ARMv9-A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SVE2 + SME (MatNTT)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sequential ZA array data access; reuses twiddle factors across register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twiddle table size by 65%; eliminates L1 cache misses; 7.77x speedup.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IoT / Low-End 32-bit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(Algorithmic)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Improved Plantard Arithmetic with aggressive "lazy reduction"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Saves one multiplication cycle per constant; defers intermediate modulos.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Hash Cores (Any)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Keccak-NI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Routes XOFs (SHAKE-128/256) matrix generation directly to dedicated silicon.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software bitwise XORs; maximizes determinist polynomial expansion.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the Cross-Chain Enclave: The Two-Way Peg Mechanism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statistically vulnerable component of any Layer 2 ecosystem is the cross-chain bridge that facilitates the bi-directional movement of assets between the L1 settlement layer and the L2 execution layer.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historical analysis of the decentralized finance sector reveals that poorly engineered bridges represent a catastrophic point of failure.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Lessons from the Qubit Finance Exploit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design of the Qubit protocol's two-way peg is heavily informed by the devastating $80 million exploit of the entirely unrelated "Qubit Finance" bridge in January 2022.</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that incident, an Ethereum-to-BSC bridge operated using a set of smart contracts containing a critical, seemingly innocuous logic error. The developers had implemented a new depositETH function to handle native asset transfers but carelessly left a deprecated, legacy deposit function active within the contract.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attacker leveraged this overlapping functionality by calling the legacy deposit function with maliciously crafted parameters. Specifically, they input a resourceID that directly mapped to the zero address (representing ETH) but attached absolutely no actual ETH to the transaction payload.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Because the legacy function lacked proper architectural safeguards, it called a safeTransferFrom method directly on the zero address. Because the zero address contains no executable code, the EVM call completed successfully without reverting, emitting a deceptive Deposit event to the blockchain.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bridge's centralized backend infrastructure erroneously interpreted this emitted event as a valid, fully collateralized deposit and subsequently minted an unlimited amount of xETH on the destination chain, allowing the attacker to systematically drain the protocol's liquidity pools.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 Mathematically Verifiable Post-Quantum Bridge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catastrophic failure of classical bridging infrastructure underscores the immense danger of relying on loose event emissions and complex, unverified smart contract state checks. When translating these mechanisms to a post-quantum environment, the danger is exponentially magnified. Post-quantum cryptographic verification introduces high-dimensional polynomial arithmetic, strict norm bounding, and complex rejection sampling; if these operations interact improperly with the VM's memory management or cost accounting protocols, attackers could theoretically spoof lattice proofs to print infinite tokens on the L2.</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unconditionally prevent this, the Qubit protocol entirely discards centralized backend listeners, event-emission-based minting, and complex overlapping contract logic. Instead, it utilizes a formal, mathematically verified zero-knowledge locking mechanism connecting the L1 and L2 states.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L1 Locking and the Spend-Authority Proof:</w:t>
      </w:r>
      <w:r w:rsidDel="00000000" w:rsidR="00000000" w:rsidRPr="00000000">
        <w:rPr>
          <w:rFonts w:ascii="Google Sans" w:cs="Google Sans" w:eastAsia="Google Sans" w:hAnsi="Google Sans"/>
          <w:color w:val="1f1f1f"/>
          <w:rtl w:val="0"/>
        </w:rPr>
        <w:t xml:space="preserve"> When a user initiates a transfer from QRing to the Qubit L2, they send their assets to a specialized L1 aggregate stealth address controlled by the Qubit Rollup's consensus validators. This transaction utilizes QRing’s native LACT+ protocol, hiding the monetary value within an Approx-SIS commitment.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prove the deposit dynamically without waiting for slow, centralized confirmation thresholds, the user generates a specialized "Spend-Authority Proof" directly linked to the transaction.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Selective Disclosure and L2 Validation:</w:t>
      </w:r>
      <w:r w:rsidDel="00000000" w:rsidR="00000000" w:rsidRPr="00000000">
        <w:rPr>
          <w:rFonts w:ascii="Google Sans" w:cs="Google Sans" w:eastAsia="Google Sans" w:hAnsi="Google Sans"/>
          <w:color w:val="1f1f1f"/>
          <w:rtl w:val="0"/>
        </w:rPr>
        <w:t xml:space="preserve"> Leveraging the QRing protocol’s MiCAR-compliant "Exchange Mode" logic, the decentralized bridge validators possess a cryptographic view key for the bridge's L1 aggregate wallet.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validators utilize the highly truncated 1-byte view tag attached to the user's transaction to instantly filter and identify the incoming funds across the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locating the transaction, they mathematically verify the Spend-Authority Proof against the LACT+ commitment.</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Formal Verification of the PQ-WASM Minting Logic:</w:t>
      </w:r>
      <w:r w:rsidDel="00000000" w:rsidR="00000000" w:rsidRPr="00000000">
        <w:rPr>
          <w:rFonts w:ascii="Google Sans" w:cs="Google Sans" w:eastAsia="Google Sans" w:hAnsi="Google Sans"/>
          <w:color w:val="1f1f1f"/>
          <w:rtl w:val="0"/>
        </w:rPr>
        <w:t xml:space="preserve"> The actual WASM smart contract responsible for minting the Qubit token on the L2 is subjected to exhaustive, machine-checked formal verification.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code mathematically guarantees that the state transition generating new Qubits strictly and exclusively matches the cryptographic verification of the LACT+ commitment locked on the L1. By implementing strict row-level locking during the database updates within the RocksDB engine, the protocol systematically prevents any possibility of reentrancy attacks or phantom deposits mimicking the 2022 exploit.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zero-knowledge, state-synchronous bridging model ensures that the total supply of minted Qubits circulating on the L2 can never organically exceed the total volume of QRing cryptographically locked within the L1 settlement enclave, guaranteeing absolute economic integrity and supply auditability across the entire ecosystem.</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Economics and High-Performance L1 Settlement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commercial viability of the Qubit protocol relies entirely on the efficient economic amortization of L2 execution costs and the seamless, low-latency propagation of settlement data across the QRing L1 network. Post-quantum transactions, even when aggressively compressed by Neo folding schemes and LACT+ aggregation, generate serialized byte sizes that are inherently and noticeably larger than legacy ECDSA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mismanaged, this data overhead could lead to severe network congestion.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Amortization and Cost Efficiency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model of the Qubit protocol is driven by the principle of mass computational offloading. Users interact continuously on the L2 Qubit layer, engaging in high-frequency DeFi trades, complex smart contract executions, and Web3 gaming. Every single transaction is processed natively by the high-speed PQ-WASM virtual machine, which alters the localized L2 state. The decentralized sequencer network groups tens of thousands of these disparate state transitions into a single, massive batch and generates a comprehensive Neo folding proof.</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computational cost of committing this final proof to the L1 is distributed equally across the entire batch of L2 users, the per-transaction fee is driven down to fractions of a cent, ensuring accessibility.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Furthermore, because the Neo folding scheme specifically utilizes "pay-per-bit" Ajtai commitments, the sequencer expends exponentially less computational energy and memory compiling the proof compared to traditional monolithic lattice implementations, maximizing sequencer profitability and overall network throughput.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Network-Layer Privacy and Database Persistence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L2 sequencer periodically broadcasts the finalized zero-knowledge settlement proof back to the QRing L1 network, the physical size of the payload presents a frequently overlooked network-level de-anonymization risk. Adversaries utilizing deep packet inspection could easily execute timing analyses on the peer-to-peer (P2P) communication layer, linking the sequencer's specific IP address to the state update and subsequently mapping the geographic origin of the bridged assets.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unconditionally neutralize this surveillance vector, the settlement broadcast is deeply integrated directly into the Dandelion++ propagation protocol.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initial "Stem Phase," the L2 state update is routed entirely privately through a randomized, singular path of proxy nodes, with the cleartext payload further obscured by mandatory libp2p WebTransport or TCP encryption.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a node probabilistically triggers the transition, the transaction enters the "Fluff Phase" and floods the broader network from a proxy node physically distant from the true origin IP, providing near-optimal, information-theoretic anonymity at the network transport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receiving the massive settlement data payload, the QRing L1 nodes must rapidly update their unspent transaction output (UTXO) indices and validate the incoming LACT+ commitments. To manage this influx of aggregated data without creating fatal Input/Output (I/O) bottlenecks on the disk, the underlying RocksDB engine is heavily customized by implementing a Virtual Persistent Cache (VPC) design.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VPC adaptively buffers all incoming state changes in system RAM, intentionally deferring intensive disk write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state changes utilizing strict row-level locking, the architecture allows multiple processor threads to validate and persist the independent L2 zero-knowledge proofs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the L1 remains highly responsive, consistently maintaining a propagation latency of just 42 ms and an unprecedented orphan rate of 0.8%, even under maximum L2 settlement loads.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Roadmap and the March 7th Testnet Deployment Strategy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theoretical architecture detailed within this report transitions definitively to active deployment with the launch of the QRing public testnet, officially scheduled to go live on March 7th at 1:00 PM MST exclusively for whitelisted users.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critical alpha testnet serves as the primary proving ground for the real-world integration of the Qubit L2 protocol alongside the QRing L1 foundation.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engineering and security objectives for the March 7th testnet deployment phase are rigidly defined:</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PQ-WASM Validation under Load:</w:t>
      </w:r>
      <w:r w:rsidDel="00000000" w:rsidR="00000000" w:rsidRPr="00000000">
        <w:rPr>
          <w:rFonts w:ascii="Google Sans" w:cs="Google Sans" w:eastAsia="Google Sans" w:hAnsi="Google Sans"/>
          <w:color w:val="1f1f1f"/>
          <w:rtl w:val="0"/>
        </w:rPr>
        <w:t xml:space="preserve"> Whitelisted developers will actively deploy complex smart contracts written in Rust or AssemblyScript, compiled directly to WASM, onto the Qubit testnet. This phase will rigorously test the efficacy of the AVX-512 IFMA and ARMv9 SME MatNTT hardware acceleration pipelines under live, adversarial conditions, ensuring that execution environments do not stall during heavy polynomial convolutions.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Two-Way Peg Stress Testing:</w:t>
      </w:r>
      <w:r w:rsidDel="00000000" w:rsidR="00000000" w:rsidRPr="00000000">
        <w:rPr>
          <w:rFonts w:ascii="Google Sans" w:cs="Google Sans" w:eastAsia="Google Sans" w:hAnsi="Google Sans"/>
          <w:color w:val="1f1f1f"/>
          <w:rtl w:val="0"/>
        </w:rPr>
        <w:t xml:space="preserve"> Specialized security researchers will actively attempt to exploit the testnet bridge, specifically hunting for logical vulnerabilities or reentrancy vectors reminiscent of the 2022 Qubit Finance hack. The formal verification of the zero-knowledge locking and minting mechanics will be dynamically audited against massive, simulated transaction volume.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LatticeFold and Neo Prover Benchmarking:</w:t>
      </w:r>
      <w:r w:rsidDel="00000000" w:rsidR="00000000" w:rsidRPr="00000000">
        <w:rPr>
          <w:rFonts w:ascii="Google Sans" w:cs="Google Sans" w:eastAsia="Google Sans" w:hAnsi="Google Sans"/>
          <w:color w:val="1f1f1f"/>
          <w:rtl w:val="0"/>
        </w:rPr>
        <w:t xml:space="preserve"> The sequencer network's ability to seamlessly execute Incrementally Verifiable Computation (IVC) utilizing the Neo folding scheme will be benchmarked. The explicit goal is to ensure that the "pay-per-bit" commitment optimization effectively keeps proof generation times low enough to support sub-second L2 finality without causing severe memory exhaustion on the prover nodes.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Quantum Entropy API Integration:</w:t>
      </w:r>
      <w:r w:rsidDel="00000000" w:rsidR="00000000" w:rsidRPr="00000000">
        <w:rPr>
          <w:rFonts w:ascii="Google Sans" w:cs="Google Sans" w:eastAsia="Google Sans" w:hAnsi="Google Sans"/>
          <w:color w:val="1f1f1f"/>
          <w:rtl w:val="0"/>
        </w:rPr>
        <w:t xml:space="preserve"> Developers will test the integration of the QRiNG-based quantum entropy APIs, ensuring that smart contracts can reliably pull high-entropy randomness (0.99 bits/qubit) for use in testnet lotteries and gaming simulations without latency or oracle manipulation.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successful resolution of edge cases and bottlenecks discovered during this testnet epoch, the protocol will advance steadily toward full mainnet deployment. This progression will be accompanied by comprehensive third-party cryptography audits and the seamless integration of centralized exchange compliance features, specifically the MiCAR-compliant "Exchange Mode" utilizing selective disclosure via view keys.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guarantees that the Qubit token remains highly liquid, regulatory-compliant, and globally accessible upon official launch.</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impending realization of cryptographically relevant quantum computers represents an absolute boundary for the survival of current decentralized infrastructure. A proactive migration is no longer a theoretical exercise but a vital necessity driven by the active "Harvest Now, Decrypt Later" threat landscape. By establishing QRing as a quantum-impenetrable Layer 1 settlement and cold storage foundation—secured by ML-KEM stealth addresses, MatRiCT+ membership proofs, and LACT+ aggregable commitments—the ecosystem secures its assets against catastrophic retroactive de-anonymization and hyper-inflation.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pure value storage is fundamentally insufficient for the demands of the modern digital economy. The Qubit protocol elegantly resolves this limitation by providing a highly optimized, post-quantum Layer 2 execution environment. By leveraging the Neo lattice-based folding scheme for Incrementally Verifiable Computation, the protocol scales limitlessly without violating the stringent memory constraints of the base layer. Furthermore, the implementation of a mathematically verified PQ-WASM virtual machine—deeply intertwined with AVX-512 IFMA and ARMv9-A SME hardware acceleration—ensures that complex Web3 applications and smart contracts can execute at unprecedented velocities without buckling under the weight of polynomial arithmetic.</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Secured by a formally verified two-way zero-knowledge bridge that learns from the failures of legacy protocols, and empowered by genuine quantum entropy for decentralized randomness, the Qubit protocol represents the absolute pinnacle of modern cryptographic engineering. It establishes a definitive blueprint for the future of programmable finance, guaranteeing that the promises of Web3 remain secure, scalable, and decentralized well into the post-quantum era.</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Monero Algorithm Research.docx</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and Comparison of Post-Quantum and Quantum Blockchains - IEEE Xplore,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https://ieeexplore.ieee.org/iel7/9739/5451756/10288193.pdf</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Cryptography | CSRC - NIST,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https://csrc.nist.gov/projects/post-quantum-cryptography</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ZK-Rollups: The Next Step In Blockchain Scalability - Hacken,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https://hacken.io/discover/zk-rollups-explained/</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Qubit Price, QBT Price, Live Charts, and Marketcap - Coinbase,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https://www.coinbase.com/en-gb/price/qubit</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LACT+: Practical Post-Quantum Scalable Confidential Transactions,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https://www.mdpi.com/2410-387X/7/2/24</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Scalability and Security in Blockchain-Based Transportation Systems for Mass Gatherings - MDPI,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https://www.mdpi.com/2078-2489/16/8/641</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Zero-Knowledge Cryptography Emerges as the Primary Defense Against Quantum Vulnerabilities - ZK Rollups,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https://zkrollups.io/primary-defense-against-quantum-vulnerabilities/</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PP-PQB: Privacy-Preserving in Post-Quantum Blockchain-Based Systems: A Systematization of Knowledge - IEEE Xplore,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https://ieeexplore.ieee.org/iel8/6287639/10820123/10904231.pdf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QDAY: Building the Bridge to a Post-Quantum Future | by Abelian | Medium,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https://pqabelian.medium.com/qday-building-a-bridge-to-a-quantum-secure-future-38600cd5ff5c</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Rollups = Bridges + Blockchains - Layer 2 - Ethereum Research,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https://ethresear.ch/t/rollups-bridges-blockchains/15739</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Qubit - Dapps | IQ.wiki,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https://iq.wiki/wiki/qubit</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QRiNG: Bridging Quantum Physics and Blockchain for True Randomness - BTQ,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https://www.btq.com/blog/qring-bridging-quantum-physics-and-blockchain-for-true-randomness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LatticeFold: A Lattice-based Folding Scheme and its Applications to Succinct Proof Systems - Cryptology ePrint Archive,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https://eprint.iacr.org/2024/257.pdf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Prepping for post-quantum: a beginner's guide to lattice cryptography - The Cloudflare Blog,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https://blog.cloudflare.com/lattice-crypto-primer/</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efficient Lattice Folding via ℓ₂-Norm Checks | osdnk - Michał Osadnik,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https://www.osdnk.me/blog/l2-folding-scheme</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LatticeFold+: Faster, Simpler, Shorter Lattice-Based Folding for Succinct Proof Systems - Cryptology ePrint Archive,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https://eprint.iacr.org/2025/247.pdf</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 Lattice-based folding scheme for CCS over small fields and pay-per-bit commitments,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https://eprint.iacr.org/2025/294</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Binyi Chen: LatticeFold - A Lattice-based Folding Scheme and Applications to Succinct Proof Systems - YouTube,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https://www.youtube.com/watch?v=pre-nW3jawM</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 Lattice-based folding scheme for CCS over small fields and ...,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https://eprint.iacr.org/2025/294.pdf</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Folding schemes in the lattice setting: pay-per-bit and NTTs - ICME,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https://blog.icme.io/folding-schemes-in-the-lattice-setting-pay-per-bit-and-ntts/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 verification challenges for post quantum virtual machines | by Quantova - Medium,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https://medium.com/@quantova/formal-verification-challenges-for-post-quantum-virtual-machines-94e7bdc52f88</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road to Post-Quantum Ethereum transaction is paved with Account Abstraction (AA),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https://ethresear.ch/t/the-road-to-post-quantum-ethereum-transaction-is-paved-with-account-abstraction-aa/21783</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application research based on blockchain smart contract - PMC - NIH,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https://pmc.ncbi.nlm.nih.gov/articles/PMC8762990/</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Vitalik Buterin lays out a two-part plan to overhaul Ethereum's execution layer from the ground up | The Block,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https://www.theblock.co/post/391681/vitalik-buterin-lays-out-a-two-part-plan-to-overhaul-ethereums-execution-layer-from-the-ground-up</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Weaving the Cosmos: WASM-Powered Interchain Communication for AI Enabled Smart Contracts - arXiv.org,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https://arxiv.org/html/2502.17604v1</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(WASM) Smart Contracts: Their Role In Future Blockchain Ecosystems,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https://hacken.io/discover/wasm-smart-contracts/</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Hardware-Based WebAssembly Accelerator for Embedded System - MDPI,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https://www.mdpi.com/2079-9292/13/20/3979</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Wasm Elevates Performance Without Leaving the EVM - Arbitrum Foundation,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https://blog.arbitrum.foundation/how-wasm-elevates-performance-without-leaving-the-evm/</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Dilithium Implementation with AVX2/-512 | Semantic Scholar,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https://www.semanticscholar.org/paper/Optimizing-Dilithium-Implementation-with-AVX2-512-Xu-He/e2f16721e5136d5328bbcbf55b8e507f389682b6</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Vectorized SVE2 Optimization of the Post-Quantum Signature ML-DSA on ARMv9-A Architecture - Cryptology ePrint Archive,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https://eprint.iacr.org/2025/2208.pdf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Implementation of ML-KEM on ARMv9-A with SVE2 and SME,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https://eprint.iacr.org/2026/093</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Infrastructure: Secure Engineering of Blockchain Bridges - CertiK,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https://www.certik.com/resources/blog/critical-infrastructure-secure-engineering-of-blockchain-bridges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Seven Key Cross-Chain Bridge Vulnerabilities Explained - Chainlink,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https://chain.link/education-hub/cross-chain-bridge-vulnerabilities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Smart Contract Security | Pier Two,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https://piertwo.com/insights/smart-contract-and-pos-security</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Hack Track: Analysis of Qubit Finance Exploit | Merkle Science,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https://www.merklescience.com/blog/hack-track-analysis-of-qubit-finance-exploit</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Audits Fail: Inside the Balancer and Yearn Exploits of 2025 | Zircuit,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https://www.zircuit.com/blog/inside-the-balancer-and-yearn-exploits-of-2025</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L3s v. Aggregated L2s: An Analysis for Developers - Polygon,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https://polygon.technology/blog/l3s-v-aggregated-l2s-an-analysis-for-developers</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ZKM,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https://www.zkm.io/blog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ertik.com/resources/blog/critical-infrastructure-secure-engineering-of-blockchain-bridges" TargetMode="External"/><Relationship Id="rId20" Type="http://schemas.openxmlformats.org/officeDocument/2006/relationships/hyperlink" Target="https://www.btq.com/blog/qring-bridging-quantum-physics-and-blockchain-for-true-randomness" TargetMode="External"/><Relationship Id="rId42" Type="http://schemas.openxmlformats.org/officeDocument/2006/relationships/hyperlink" Target="https://piertwo.com/insights/smart-contract-and-pos-security" TargetMode="External"/><Relationship Id="rId41" Type="http://schemas.openxmlformats.org/officeDocument/2006/relationships/hyperlink" Target="https://chain.link/education-hub/cross-chain-bridge-vulnerabilities" TargetMode="External"/><Relationship Id="rId22" Type="http://schemas.openxmlformats.org/officeDocument/2006/relationships/hyperlink" Target="https://blog.cloudflare.com/lattice-crypto-primer/" TargetMode="External"/><Relationship Id="rId44" Type="http://schemas.openxmlformats.org/officeDocument/2006/relationships/hyperlink" Target="https://www.zircuit.com/blog/inside-the-balancer-and-yearn-exploits-of-2025" TargetMode="External"/><Relationship Id="rId21" Type="http://schemas.openxmlformats.org/officeDocument/2006/relationships/hyperlink" Target="https://eprint.iacr.org/2024/257.pdf" TargetMode="External"/><Relationship Id="rId43" Type="http://schemas.openxmlformats.org/officeDocument/2006/relationships/hyperlink" Target="https://www.merklescience.com/blog/hack-track-analysis-of-qubit-finance-exploit" TargetMode="External"/><Relationship Id="rId24" Type="http://schemas.openxmlformats.org/officeDocument/2006/relationships/hyperlink" Target="https://eprint.iacr.org/2025/247.pdf" TargetMode="External"/><Relationship Id="rId46" Type="http://schemas.openxmlformats.org/officeDocument/2006/relationships/hyperlink" Target="https://www.zkm.io/blog" TargetMode="External"/><Relationship Id="rId23" Type="http://schemas.openxmlformats.org/officeDocument/2006/relationships/hyperlink" Target="https://www.osdnk.me/blog/l2-folding-scheme" TargetMode="External"/><Relationship Id="rId45" Type="http://schemas.openxmlformats.org/officeDocument/2006/relationships/hyperlink" Target="https://polygon.technology/blog/l3s-v-aggregated-l2s-an-analysis-for-develop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iel7/9739/5451756/10288193.pdf" TargetMode="External"/><Relationship Id="rId26" Type="http://schemas.openxmlformats.org/officeDocument/2006/relationships/hyperlink" Target="https://www.youtube.com/watch?v=pre-nW3jawM" TargetMode="External"/><Relationship Id="rId25" Type="http://schemas.openxmlformats.org/officeDocument/2006/relationships/hyperlink" Target="https://eprint.iacr.org/2025/294" TargetMode="External"/><Relationship Id="rId28" Type="http://schemas.openxmlformats.org/officeDocument/2006/relationships/hyperlink" Target="https://blog.icme.io/folding-schemes-in-the-lattice-setting-pay-per-bit-and-ntts/" TargetMode="External"/><Relationship Id="rId27" Type="http://schemas.openxmlformats.org/officeDocument/2006/relationships/hyperlink" Target="https://eprint.iacr.org/2025/294.pdf"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medium.com/@quantova/formal-verification-challenges-for-post-quantum-virtual-machines-94e7bdc52f88"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pmc.ncbi.nlm.nih.gov/articles/PMC8762990/" TargetMode="External"/><Relationship Id="rId30" Type="http://schemas.openxmlformats.org/officeDocument/2006/relationships/hyperlink" Target="https://ethresear.ch/t/the-road-to-post-quantum-ethereum-transaction-is-paved-with-account-abstraction-aa/21783" TargetMode="External"/><Relationship Id="rId11" Type="http://schemas.openxmlformats.org/officeDocument/2006/relationships/hyperlink" Target="https://hacken.io/discover/zk-rollups-explained/" TargetMode="External"/><Relationship Id="rId33" Type="http://schemas.openxmlformats.org/officeDocument/2006/relationships/hyperlink" Target="https://arxiv.org/html/2502.17604v1" TargetMode="External"/><Relationship Id="rId10" Type="http://schemas.openxmlformats.org/officeDocument/2006/relationships/hyperlink" Target="https://csrc.nist.gov/projects/post-quantum-cryptography" TargetMode="External"/><Relationship Id="rId32" Type="http://schemas.openxmlformats.org/officeDocument/2006/relationships/hyperlink" Target="https://www.theblock.co/post/391681/vitalik-buterin-lays-out-a-two-part-plan-to-overhaul-ethereums-execution-layer-from-the-ground-up" TargetMode="External"/><Relationship Id="rId13" Type="http://schemas.openxmlformats.org/officeDocument/2006/relationships/hyperlink" Target="https://www.mdpi.com/2410-387X/7/2/24" TargetMode="External"/><Relationship Id="rId35" Type="http://schemas.openxmlformats.org/officeDocument/2006/relationships/hyperlink" Target="https://www.mdpi.com/2079-9292/13/20/3979" TargetMode="External"/><Relationship Id="rId12" Type="http://schemas.openxmlformats.org/officeDocument/2006/relationships/hyperlink" Target="https://www.coinbase.com/en-gb/price/qubit" TargetMode="External"/><Relationship Id="rId34" Type="http://schemas.openxmlformats.org/officeDocument/2006/relationships/hyperlink" Target="https://hacken.io/discover/wasm-smart-contracts/" TargetMode="External"/><Relationship Id="rId15" Type="http://schemas.openxmlformats.org/officeDocument/2006/relationships/hyperlink" Target="https://zkrollups.io/primary-defense-against-quantum-vulnerabilities/" TargetMode="External"/><Relationship Id="rId37" Type="http://schemas.openxmlformats.org/officeDocument/2006/relationships/hyperlink" Target="https://www.semanticscholar.org/paper/Optimizing-Dilithium-Implementation-with-AVX2-512-Xu-He/e2f16721e5136d5328bbcbf55b8e507f389682b6" TargetMode="External"/><Relationship Id="rId14" Type="http://schemas.openxmlformats.org/officeDocument/2006/relationships/hyperlink" Target="https://www.mdpi.com/2078-2489/16/8/641" TargetMode="External"/><Relationship Id="rId36" Type="http://schemas.openxmlformats.org/officeDocument/2006/relationships/hyperlink" Target="https://blog.arbitrum.foundation/how-wasm-elevates-performance-without-leaving-the-evm/" TargetMode="External"/><Relationship Id="rId17" Type="http://schemas.openxmlformats.org/officeDocument/2006/relationships/hyperlink" Target="https://pqabelian.medium.com/qday-building-a-bridge-to-a-quantum-secure-future-38600cd5ff5c" TargetMode="External"/><Relationship Id="rId39" Type="http://schemas.openxmlformats.org/officeDocument/2006/relationships/hyperlink" Target="https://eprint.iacr.org/2026/093" TargetMode="External"/><Relationship Id="rId16" Type="http://schemas.openxmlformats.org/officeDocument/2006/relationships/hyperlink" Target="https://ieeexplore.ieee.org/iel8/6287639/10820123/10904231.pdf" TargetMode="External"/><Relationship Id="rId38" Type="http://schemas.openxmlformats.org/officeDocument/2006/relationships/hyperlink" Target="https://eprint.iacr.org/2025/2208.pdf" TargetMode="External"/><Relationship Id="rId19" Type="http://schemas.openxmlformats.org/officeDocument/2006/relationships/hyperlink" Target="https://iq.wiki/wiki/qubit" TargetMode="External"/><Relationship Id="rId18" Type="http://schemas.openxmlformats.org/officeDocument/2006/relationships/hyperlink" Target="https://ethresear.ch/t/rollups-bridges-blockchains/157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