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44"/>
          <w:szCs w:val="44"/>
        </w:rPr>
        <w:t xml:space="preserve">Born Rule as Basin Geometry</w:t>
      </w:r>
    </w:p>
    <w:p>
      <w:pPr>
        <w:spacing w:after="60" w:before="0"/>
        <w:jc w:val="center"/>
      </w:pPr>
      <w:r>
        <w:rPr>
          <w:rFonts w:ascii="Arial" w:cs="Arial" w:eastAsia="Arial" w:hAnsi="Arial"/>
          <w:i/>
          <w:iCs/>
          <w:color w:val="2E75B6"/>
          <w:sz w:val="28"/>
          <w:szCs w:val="28"/>
        </w:rPr>
        <w:t xml:space="preserve">A Derivation from TₘΣ Structure on M × ℂP¹</w:t>
      </w:r>
    </w:p>
    <w:p>
      <w:pPr>
        <w:spacing w:after="60" w:before="0"/>
        <w:jc w:val="center"/>
      </w:pPr>
      <w:r>
        <w:rPr>
          <w:rFonts w:ascii="Arial" w:cs="Arial" w:eastAsia="Arial" w:hAnsi="Arial"/>
          <w:color w:val="888888"/>
          <w:sz w:val="22"/>
          <w:szCs w:val="22"/>
        </w:rPr>
        <w:t xml:space="preserve">Coherence Relativity Paper 2 — Working Draft</w:t>
      </w:r>
    </w:p>
    <w:p>
      <w:pPr>
        <w:spacing w:after="480" w:before="0"/>
        <w:jc w:val="center"/>
      </w:pPr>
      <w:r>
        <w:rPr>
          <w:rFonts w:ascii="Arial" w:cs="Arial" w:eastAsia="Arial" w:hAnsi="Arial"/>
          <w:color w:val="888888"/>
          <w:sz w:val="20"/>
          <w:szCs w:val="20"/>
        </w:rPr>
        <w:t xml:space="preserve">B. Kaufman / CR Collaboration — April 19, 2026</w:t>
      </w:r>
    </w:p>
    <w:p>
      <w:pPr>
        <w:pBdr>
          <w:top w:val="single" w:color="B87C00" w:sz="4" w:space="4"/>
          <w:bottom w:val="single" w:color="B87C00" w:sz="4" w:space="4"/>
        </w:pBdr>
        <w:shd w:fill="FFF3CD" w:val="clear"/>
        <w:spacing w:after="120" w:before="100"/>
        <w:ind w:left="360"/>
      </w:pPr>
      <w:r>
        <w:rPr>
          <w:rFonts w:ascii="Arial" w:cs="Arial" w:eastAsia="Arial" w:hAnsi="Arial"/>
          <w:i/>
          <w:iCs/>
          <w:color w:val="1F3864"/>
          <w:sz w:val="20"/>
          <w:szCs w:val="20"/>
        </w:rPr>
        <w:t xml:space="preserve">WORKING DRAFT: This document records an active derivation attempt. Status markers are used throughout. ✅ ESTABLISHED = known mathematical fact. ⚠️ CONJECTURAL = plausible but unproven within CR. ❌ OPEN = the gap that requires original work. Do not cite this document; it is an internal working record.</w:t>
      </w:r>
    </w:p>
    <w:p>
      <w:pPr>
        <w:pBdr>
          <w:bottom w:val="single" w:color="1F3864" w:sz="4" w:space="1"/>
        </w:pBdr>
        <w:spacing w:after="120" w:before="120"/>
      </w:pPr>
      <w:r>
        <w:t xml:space="preserve"/>
      </w:r>
    </w:p>
    <w:p>
      <w:pPr>
        <w:pStyle w:val="Heading2"/>
        <w:spacing w:after="120" w:before="280"/>
      </w:pPr>
      <w:r>
        <w:rPr>
          <w:rFonts w:ascii="Arial" w:cs="Arial" w:eastAsia="Arial" w:hAnsi="Arial"/>
          <w:b/>
          <w:bCs/>
          <w:sz w:val="26"/>
          <w:szCs w:val="26"/>
        </w:rPr>
        <w:t xml:space="preserve">Abstract</w:t>
      </w:r>
    </w:p>
    <w:p>
      <w:pPr>
        <w:spacing w:after="160" w:before="80"/>
      </w:pPr>
      <w:r>
        <w:rPr>
          <w:rFonts w:ascii="Georgia" w:cs="Georgia" w:eastAsia="Georgia" w:hAnsi="Georgia"/>
          <w:sz w:val="22"/>
          <w:szCs w:val="22"/>
        </w:rPr>
        <w:t xml:space="preserve">We attempt to derive the Born rule |⟨ψ|φ_i⟩|² as a consequence of the geometry of the TₘΣ admissibility band, rather than as a postulate of quantum mechanics. The strategy is: (1) identify the basin decomposition on the Bloch sphere (ℂP¹) induced by the TₘΣ-flow; (2) show that the basin weight function W(φ_i|ψ) is frame noncontextual as a consequence of the TₘΣ self-consistency (SCF) fixed-point condition plus the bidirectionality constraint; (3) conclude by SU(2) symmetry of ℂP¹ that W(φ|ψ) = |⟨ψ|φ⟩|². Steps (1) and (3) are established. Step (2) is the open problem and the novel CR contribution.</w:t>
      </w:r>
    </w:p>
    <w:p>
      <w:pPr>
        <w:pBdr>
          <w:bottom w:val="single" w:color="1F3864" w:sz="4" w:space="1"/>
        </w:pBdr>
        <w:spacing w:after="120" w:before="120"/>
      </w:pPr>
      <w:r>
        <w:t xml:space="preserve"/>
      </w:r>
    </w:p>
    <w:p>
      <w:pPr>
        <w:pStyle w:val="Heading1"/>
        <w:spacing w:after="200" w:before="400"/>
      </w:pPr>
      <w:r>
        <w:rPr>
          <w:rFonts w:ascii="Arial" w:cs="Arial" w:eastAsia="Arial" w:hAnsi="Arial"/>
          <w:b/>
          <w:bCs/>
          <w:sz w:val="32"/>
          <w:szCs w:val="32"/>
        </w:rPr>
        <w:t xml:space="preserve">1. Setup and Notation</w:t>
      </w:r>
    </w:p>
    <w:p>
      <w:pPr>
        <w:pStyle w:val="Heading2"/>
        <w:spacing w:after="120" w:before="280"/>
      </w:pPr>
      <w:r>
        <w:rPr>
          <w:rFonts w:ascii="Arial" w:cs="Arial" w:eastAsia="Arial" w:hAnsi="Arial"/>
          <w:b/>
          <w:bCs/>
          <w:sz w:val="26"/>
          <w:szCs w:val="26"/>
        </w:rPr>
        <w:t xml:space="preserve">1.1 State space</w:t>
      </w:r>
    </w:p>
    <w:p>
      <w:pPr>
        <w:spacing w:after="160" w:before="80"/>
      </w:pPr>
      <w:r>
        <w:rPr>
          <w:rFonts w:ascii="Georgia" w:cs="Georgia" w:eastAsia="Georgia" w:hAnsi="Georgia"/>
          <w:sz w:val="22"/>
          <w:szCs w:val="22"/>
        </w:rPr>
        <w:t xml:space="preserve">We work with the smallest nontrivial case: a </w:t>
      </w:r>
      <w:r>
        <w:rPr>
          <w:rFonts w:ascii="Georgia" w:cs="Georgia" w:eastAsia="Georgia" w:hAnsi="Georgia"/>
          <w:b/>
          <w:bCs/>
          <w:sz w:val="22"/>
          <w:szCs w:val="22"/>
        </w:rPr>
        <w:t xml:space="preserve">qubit</w:t>
      </w:r>
      <w:r>
        <w:rPr>
          <w:rFonts w:ascii="Georgia" w:cs="Georgia" w:eastAsia="Georgia" w:hAnsi="Georgia"/>
          <w:sz w:val="22"/>
          <w:szCs w:val="22"/>
        </w:rPr>
        <w:t xml:space="preserve">. The state space is ℂP¹, the complex projective line, which is homeomorphic to the 2-sphere S². We use the </w:t>
      </w:r>
      <w:r>
        <w:rPr>
          <w:rFonts w:ascii="Georgia" w:cs="Georgia" w:eastAsia="Georgia" w:hAnsi="Georgia"/>
          <w:b/>
          <w:bCs/>
          <w:sz w:val="22"/>
          <w:szCs w:val="22"/>
        </w:rPr>
        <w:t xml:space="preserve">Bloch sphere</w:t>
      </w:r>
      <w:r>
        <w:rPr>
          <w:rFonts w:ascii="Georgia" w:cs="Georgia" w:eastAsia="Georgia" w:hAnsi="Georgia"/>
          <w:sz w:val="22"/>
          <w:szCs w:val="22"/>
        </w:rPr>
        <w:t xml:space="preserve"> representation: a pure state |ψ⟩ ∈ ℂ² corresponds to a point (θ_ψ, φ_ψ) on S² via:</w:t>
      </w:r>
    </w:p>
    <w:p>
      <w:pPr>
        <w:pBdr>
          <w:top w:val="single" w:color="DDDDDD" w:sz="1" w:space="4"/>
          <w:bottom w:val="single" w:color="DDDDDD" w:sz="1" w:space="4"/>
        </w:pBdr>
        <w:shd w:fill="F8F8F8" w:val="clear"/>
        <w:spacing w:after="160" w:before="160"/>
        <w:jc w:val="center"/>
      </w:pPr>
      <w:r>
        <w:rPr>
          <w:rFonts w:ascii="Courier New" w:cs="Courier New" w:eastAsia="Courier New" w:hAnsi="Courier New"/>
          <w:sz w:val="24"/>
          <w:szCs w:val="24"/>
        </w:rPr>
        <w:t xml:space="preserve">|ψ⟩ = cos(θ_ψ/2)|0⟩ + e^{iφ_ψ} sin(θ_ψ/2)|1⟩</w:t>
      </w:r>
    </w:p>
    <w:p>
      <w:pPr>
        <w:spacing w:after="160" w:before="80"/>
      </w:pPr>
      <w:r>
        <w:rPr>
          <w:rFonts w:ascii="Georgia" w:cs="Georgia" w:eastAsia="Georgia" w:hAnsi="Georgia"/>
          <w:sz w:val="22"/>
          <w:szCs w:val="22"/>
        </w:rPr>
        <w:t xml:space="preserve">The pointer basis is {|0⟩, |1⟩} = {north pole, south pole} on the Bloch sphere. The Fubini–Study metric on ℂP¹ gives S² the round metric; we normalize so the total area is 1: dµ_{FS} = (1/4π) sinθ dθ dφ. The group SU(2) acts transitively on ℂP¹ with the Fubini–Study measure as the unique (up to scale) SU(2)-invariant measure.</w:t>
      </w:r>
    </w:p>
    <w:p>
      <w:pPr>
        <w:pStyle w:val="Heading2"/>
        <w:spacing w:after="120" w:before="280"/>
      </w:pPr>
      <w:r>
        <w:rPr>
          <w:rFonts w:ascii="Arial" w:cs="Arial" w:eastAsia="Arial" w:hAnsi="Arial"/>
          <w:b/>
          <w:bCs/>
          <w:sz w:val="26"/>
          <w:szCs w:val="26"/>
        </w:rPr>
        <w:t xml:space="preserve">1.2 TₘΣ on M × ℂP¹</w:t>
      </w:r>
    </w:p>
    <w:p>
      <w:pPr>
        <w:spacing w:after="160" w:before="80"/>
      </w:pPr>
      <w:r>
        <w:rPr>
          <w:rFonts w:ascii="Georgia" w:cs="Georgia" w:eastAsia="Georgia" w:hAnsi="Georgia"/>
          <w:sz w:val="22"/>
          <w:szCs w:val="22"/>
        </w:rPr>
        <w:t xml:space="preserve">We model TₘΣ as a </w:t>
      </w:r>
      <w:r>
        <w:rPr>
          <w:rFonts w:ascii="Georgia" w:cs="Georgia" w:eastAsia="Georgia" w:hAnsi="Georgia"/>
          <w:b/>
          <w:bCs/>
          <w:sz w:val="22"/>
          <w:szCs w:val="22"/>
        </w:rPr>
        <w:t xml:space="preserve">connection</w:t>
      </w:r>
      <w:r>
        <w:rPr>
          <w:rFonts w:ascii="Georgia" w:cs="Georgia" w:eastAsia="Georgia" w:hAnsi="Georgia"/>
          <w:sz w:val="22"/>
          <w:szCs w:val="22"/>
        </w:rPr>
        <w:t xml:space="preserve"> on the principal bundle M × ℂP¹ → M, with structure group SU(2) acting on the fiber ℂP¹. The connection determines:</w:t>
      </w:r>
    </w:p>
    <w:p>
      <w:pPr>
        <w:pStyle w:val="ListParagraph"/>
        <w:numPr>
          <w:ilvl w:val="0"/>
          <w:numId w:val="2"/>
        </w:numPr>
        <w:spacing w:after="60" w:before="40"/>
      </w:pPr>
      <w:r>
        <w:rPr>
          <w:rFonts w:ascii="Georgia" w:cs="Georgia" w:eastAsia="Georgia" w:hAnsi="Georgia"/>
          <w:sz w:val="22"/>
          <w:szCs w:val="22"/>
        </w:rPr>
        <w:t xml:space="preserve">Parallel transport of states along paths in M</w:t>
      </w:r>
    </w:p>
    <w:p>
      <w:pPr>
        <w:pStyle w:val="ListParagraph"/>
        <w:numPr>
          <w:ilvl w:val="0"/>
          <w:numId w:val="2"/>
        </w:numPr>
        <w:spacing w:after="60" w:before="40"/>
      </w:pPr>
      <w:r>
        <w:rPr>
          <w:rFonts w:ascii="Georgia" w:cs="Georgia" w:eastAsia="Georgia" w:hAnsi="Georgia"/>
          <w:sz w:val="22"/>
          <w:szCs w:val="22"/>
        </w:rPr>
        <w:t xml:space="preserve">A flow on the fiber ℂP¹ driven by the decoherence dynamics</w:t>
      </w:r>
    </w:p>
    <w:p>
      <w:pPr>
        <w:pStyle w:val="ListParagraph"/>
        <w:numPr>
          <w:ilvl w:val="0"/>
          <w:numId w:val="2"/>
        </w:numPr>
        <w:spacing w:after="60" w:before="40"/>
      </w:pPr>
      <w:r>
        <w:rPr>
          <w:rFonts w:ascii="Georgia" w:cs="Georgia" w:eastAsia="Georgia" w:hAnsi="Georgia"/>
          <w:sz w:val="22"/>
          <w:szCs w:val="22"/>
        </w:rPr>
        <w:t xml:space="preserve">An admissibility band: the set of (M, Σ) pairs for which the connection is self-consistent</w:t>
      </w:r>
    </w:p>
    <w:p>
      <w:pPr>
        <w:spacing w:after="60" w:before="60"/>
      </w:pPr>
      <w:r>
        <w:t xml:space="preserve"/>
      </w:r>
    </w:p>
    <w:p>
      <w:pPr>
        <w:spacing w:after="160" w:before="80"/>
      </w:pPr>
      <w:r>
        <w:rPr>
          <w:rFonts w:ascii="Georgia" w:cs="Georgia" w:eastAsia="Georgia" w:hAnsi="Georgia"/>
          <w:sz w:val="22"/>
          <w:szCs w:val="22"/>
        </w:rPr>
        <w:t xml:space="preserve">The </w:t>
      </w:r>
      <w:r>
        <w:rPr>
          <w:rFonts w:ascii="Georgia" w:cs="Georgia" w:eastAsia="Georgia" w:hAnsi="Georgia"/>
          <w:b/>
          <w:bCs/>
          <w:sz w:val="22"/>
          <w:szCs w:val="22"/>
        </w:rPr>
        <w:t xml:space="preserve">SCF fixed-point condition</w:t>
      </w:r>
      <w:r>
        <w:rPr>
          <w:rFonts w:ascii="Georgia" w:cs="Georgia" w:eastAsia="Georgia" w:hAnsi="Georgia"/>
          <w:sz w:val="22"/>
          <w:szCs w:val="22"/>
        </w:rPr>
        <w:t xml:space="preserve"> requires: TₘΣ generates M and Σ from its own structure, and the generated M and Σ must be compatible with the TₘΣ that generated them. In the qubit case, this means the connection on M × ℂP¹ is self-consistent with the pointer states that M imposes and the initial state |ψ⟩ that Σ carries.</w:t>
      </w:r>
    </w:p>
    <w:p>
      <w:pPr>
        <w:pStyle w:val="Heading2"/>
        <w:spacing w:after="120" w:before="280"/>
      </w:pPr>
      <w:r>
        <w:rPr>
          <w:rFonts w:ascii="Arial" w:cs="Arial" w:eastAsia="Arial" w:hAnsi="Arial"/>
          <w:b/>
          <w:bCs/>
          <w:sz w:val="26"/>
          <w:szCs w:val="26"/>
        </w:rPr>
        <w:t xml:space="preserve">1.3 What “basin width” means</w:t>
      </w:r>
    </w:p>
    <w:p>
      <w:pPr>
        <w:spacing w:after="160" w:before="80"/>
      </w:pPr>
      <w:r>
        <w:rPr>
          <w:rFonts w:ascii="Georgia" w:cs="Georgia" w:eastAsia="Georgia" w:hAnsi="Georgia"/>
          <w:sz w:val="22"/>
          <w:szCs w:val="22"/>
        </w:rPr>
        <w:t xml:space="preserve">For a TₘΣ-flow with two pointer states {|0⟩, |1⟩}, define the </w:t>
      </w:r>
      <w:r>
        <w:rPr>
          <w:rFonts w:ascii="Georgia" w:cs="Georgia" w:eastAsia="Georgia" w:hAnsi="Georgia"/>
          <w:b/>
          <w:bCs/>
          <w:sz w:val="22"/>
          <w:szCs w:val="22"/>
        </w:rPr>
        <w:t xml:space="preserve">basin weight</w:t>
      </w:r>
      <w:r>
        <w:rPr>
          <w:rFonts w:ascii="Georgia" w:cs="Georgia" w:eastAsia="Georgia" w:hAnsi="Georgia"/>
          <w:sz w:val="22"/>
          <w:szCs w:val="22"/>
        </w:rPr>
        <w:t xml:space="preserve"> W(φ_i|ψ) as the measure (under dµ_{FS}) of the set of points on ℂP¹ that flow to pointer state |φ_i⟩, given initial state |ψ⟩. The Born rule claim is:</w:t>
      </w:r>
    </w:p>
    <w:p>
      <w:pPr>
        <w:pBdr>
          <w:top w:val="single" w:color="DDDDDD" w:sz="1" w:space="4"/>
          <w:bottom w:val="single" w:color="DDDDDD" w:sz="1" w:space="4"/>
        </w:pBdr>
        <w:shd w:fill="F8F8F8" w:val="clear"/>
        <w:spacing w:after="160" w:before="160"/>
        <w:jc w:val="center"/>
      </w:pPr>
      <w:r>
        <w:rPr>
          <w:rFonts w:ascii="Courier New" w:cs="Courier New" w:eastAsia="Courier New" w:hAnsi="Courier New"/>
          <w:sz w:val="24"/>
          <w:szCs w:val="24"/>
        </w:rPr>
        <w:t xml:space="preserve">W(φ_i | ψ) = |⟨ψ|φ_i⟩|²</w:t>
      </w:r>
    </w:p>
    <w:p>
      <w:pPr>
        <w:spacing w:after="160" w:before="80"/>
      </w:pPr>
      <w:r>
        <w:rPr>
          <w:rFonts w:ascii="Georgia" w:cs="Georgia" w:eastAsia="Georgia" w:hAnsi="Georgia"/>
          <w:sz w:val="22"/>
          <w:szCs w:val="22"/>
        </w:rPr>
        <w:t xml:space="preserve">This is what must be derived, not assumed.</w:t>
      </w:r>
    </w:p>
    <w:p>
      <w:pPr>
        <w:pBdr>
          <w:bottom w:val="single" w:color="1F3864" w:sz="4" w:space="1"/>
        </w:pBdr>
        <w:spacing w:after="120" w:before="120"/>
      </w:pPr>
      <w:r>
        <w:t xml:space="preserve"/>
      </w:r>
    </w:p>
    <w:p>
      <w:pPr>
        <w:pStyle w:val="Heading1"/>
        <w:spacing w:after="200" w:before="400"/>
      </w:pPr>
      <w:r>
        <w:rPr>
          <w:rFonts w:ascii="Arial" w:cs="Arial" w:eastAsia="Arial" w:hAnsi="Arial"/>
          <w:b/>
          <w:bCs/>
          <w:sz w:val="32"/>
          <w:szCs w:val="32"/>
        </w:rPr>
        <w:t xml:space="preserve">2. The Geometric Fact</w:t>
      </w:r>
    </w:p>
    <w:p>
      <w:pPr>
        <w:pBdr>
          <w:top w:val="single" w:color="1A7A40" w:sz="4" w:space="4"/>
          <w:bottom w:val="single" w:color="1A7A40" w:sz="4" w:space="4"/>
        </w:pBdr>
        <w:shd w:fill="E8F5E9" w:val="clear"/>
        <w:spacing w:after="120" w:before="100"/>
        <w:ind w:left="360"/>
      </w:pPr>
      <w:r>
        <w:rPr>
          <w:rFonts w:ascii="Arial" w:cs="Arial" w:eastAsia="Arial" w:hAnsi="Arial"/>
          <w:i/>
          <w:iCs/>
          <w:color w:val="1F3864"/>
          <w:sz w:val="20"/>
          <w:szCs w:val="20"/>
        </w:rPr>
        <w:t xml:space="preserve">✅ ESTABLISHED: The following is an exact calculation. No assumptions about TₘΣ are used here.</w:t>
      </w:r>
    </w:p>
    <w:p>
      <w:pPr>
        <w:spacing w:after="60" w:before="60"/>
      </w:pPr>
      <w:r>
        <w:t xml:space="preserve"/>
      </w:r>
    </w:p>
    <w:p>
      <w:pPr>
        <w:pStyle w:val="Heading2"/>
        <w:spacing w:after="120" w:before="280"/>
      </w:pPr>
      <w:r>
        <w:rPr>
          <w:rFonts w:ascii="Arial" w:cs="Arial" w:eastAsia="Arial" w:hAnsi="Arial"/>
          <w:b/>
          <w:bCs/>
          <w:sz w:val="26"/>
          <w:szCs w:val="26"/>
        </w:rPr>
        <w:t xml:space="preserve">2.1 Cap areas on the Bloch sphere</w:t>
      </w:r>
    </w:p>
    <w:p>
      <w:pPr>
        <w:spacing w:after="160" w:before="80"/>
      </w:pPr>
      <w:r>
        <w:rPr>
          <w:rFonts w:ascii="Georgia" w:cs="Georgia" w:eastAsia="Georgia" w:hAnsi="Georgia"/>
          <w:sz w:val="22"/>
          <w:szCs w:val="22"/>
        </w:rPr>
        <w:t xml:space="preserve">Given |ψ⟩ at polar angle θ_ψ, define two caps:</w:t>
      </w:r>
    </w:p>
    <w:p>
      <w:pPr>
        <w:spacing w:after="160" w:before="80"/>
      </w:pPr>
      <w:r>
        <w:rPr>
          <w:rFonts w:ascii="Georgia" w:cs="Georgia" w:eastAsia="Georgia" w:hAnsi="Georgia"/>
          <w:b/>
          <w:bCs/>
          <w:sz w:val="22"/>
          <w:szCs w:val="22"/>
        </w:rPr>
        <w:t xml:space="preserve">C₀(ψ)</w:t>
      </w:r>
      <w:r>
        <w:rPr>
          <w:rFonts w:ascii="Georgia" w:cs="Georgia" w:eastAsia="Georgia" w:hAnsi="Georgia"/>
          <w:sz w:val="22"/>
          <w:szCs w:val="22"/>
        </w:rPr>
        <w:t xml:space="preserve"> = {Ω ∈ S² : θ_Ω ≥ θ_ψ} — the cap from latitude θ_ψ down to the south pole (|1⟩).</w:t>
      </w:r>
    </w:p>
    <w:p>
      <w:pPr>
        <w:spacing w:after="160" w:before="80"/>
      </w:pPr>
      <w:r>
        <w:rPr>
          <w:rFonts w:ascii="Georgia" w:cs="Georgia" w:eastAsia="Georgia" w:hAnsi="Georgia"/>
          <w:b/>
          <w:bCs/>
          <w:sz w:val="22"/>
          <w:szCs w:val="22"/>
        </w:rPr>
        <w:t xml:space="preserve">C₁(ψ)</w:t>
      </w:r>
      <w:r>
        <w:rPr>
          <w:rFonts w:ascii="Georgia" w:cs="Georgia" w:eastAsia="Georgia" w:hAnsi="Georgia"/>
          <w:sz w:val="22"/>
          <w:szCs w:val="22"/>
        </w:rPr>
        <w:t xml:space="preserve"> = {Ω ∈ S² : θ_Ω ≤ θ_ψ} — the cap from the north pole (|0⟩) down to latitude θ_ψ.</w:t>
      </w:r>
    </w:p>
    <w:p>
      <w:pPr>
        <w:spacing w:after="60" w:before="60"/>
      </w:pPr>
      <w:r>
        <w:t xml:space="preserve"/>
      </w:r>
    </w:p>
    <w:p>
      <w:pPr>
        <w:spacing w:after="160" w:before="80"/>
      </w:pPr>
      <w:r>
        <w:rPr>
          <w:rFonts w:ascii="Georgia" w:cs="Georgia" w:eastAsia="Georgia" w:hAnsi="Georgia"/>
          <w:sz w:val="22"/>
          <w:szCs w:val="22"/>
        </w:rPr>
        <w:t xml:space="preserve">Their areas under dµ_{FS}:</w:t>
      </w:r>
    </w:p>
    <w:p>
      <w:pPr>
        <w:pBdr>
          <w:top w:val="single" w:color="DDDDDD" w:sz="1" w:space="4"/>
          <w:bottom w:val="single" w:color="DDDDDD" w:sz="1" w:space="4"/>
        </w:pBdr>
        <w:shd w:fill="F8F8F8" w:val="clear"/>
        <w:spacing w:after="160" w:before="160"/>
        <w:jc w:val="center"/>
      </w:pPr>
      <w:r>
        <w:rPr>
          <w:rFonts w:ascii="Courier New" w:cs="Courier New" w:eastAsia="Courier New" w:hAnsi="Courier New"/>
          <w:sz w:val="24"/>
          <w:szCs w:val="24"/>
        </w:rPr>
        <w:t xml:space="preserve">µ(C₀(ψ)) = (1/2)∫_{θ_ψ}^{π} sinθ dθ = (1/2)(1 − cosθ_ψ)/1 ... wait — let’s compute carefully.</w:t>
      </w:r>
    </w:p>
    <w:p>
      <w:pPr>
        <w:spacing w:after="160" w:before="80"/>
      </w:pPr>
      <w:r>
        <w:rPr>
          <w:rFonts w:ascii="Georgia" w:cs="Georgia" w:eastAsia="Georgia" w:hAnsi="Georgia"/>
          <w:b/>
          <w:bCs/>
          <w:sz w:val="22"/>
          <w:szCs w:val="22"/>
        </w:rPr>
        <w:t xml:space="preserve">Full computation:</w:t>
      </w:r>
    </w:p>
    <w:p>
      <w:pPr>
        <w:pBdr>
          <w:top w:val="single" w:color="DDDDDD" w:sz="1" w:space="4"/>
          <w:bottom w:val="single" w:color="DDDDDD" w:sz="1" w:space="4"/>
        </w:pBdr>
        <w:shd w:fill="F8F8F8" w:val="clear"/>
        <w:spacing w:after="160" w:before="160"/>
        <w:jc w:val="center"/>
      </w:pPr>
      <w:r>
        <w:rPr>
          <w:rFonts w:ascii="Courier New" w:cs="Courier New" w:eastAsia="Courier New" w:hAnsi="Courier New"/>
          <w:sz w:val="24"/>
          <w:szCs w:val="24"/>
        </w:rPr>
        <w:t xml:space="preserve">µ(C₁(ψ)) = ∫_0^{θ_ψ} ∫_0^{2π} (1/4π) sinθ dθ dφ</w:t>
      </w:r>
    </w:p>
    <w:p>
      <w:pPr>
        <w:pBdr>
          <w:top w:val="single" w:color="DDDDDD" w:sz="1" w:space="4"/>
          <w:bottom w:val="single" w:color="DDDDDD" w:sz="1" w:space="4"/>
        </w:pBdr>
        <w:shd w:fill="F8F8F8" w:val="clear"/>
        <w:spacing w:after="160" w:before="160"/>
        <w:jc w:val="center"/>
      </w:pPr>
      <w:r>
        <w:rPr>
          <w:rFonts w:ascii="Courier New" w:cs="Courier New" w:eastAsia="Courier New" w:hAnsi="Courier New"/>
          <w:sz w:val="24"/>
          <w:szCs w:val="24"/>
        </w:rPr>
        <w:t xml:space="preserve">          = (2π/4π) ∫_0^{θ_ψ} sinθ dθ</w:t>
      </w:r>
    </w:p>
    <w:p>
      <w:pPr>
        <w:pBdr>
          <w:top w:val="single" w:color="DDDDDD" w:sz="1" w:space="4"/>
          <w:bottom w:val="single" w:color="DDDDDD" w:sz="1" w:space="4"/>
        </w:pBdr>
        <w:shd w:fill="F8F8F8" w:val="clear"/>
        <w:spacing w:after="160" w:before="160"/>
        <w:jc w:val="center"/>
      </w:pPr>
      <w:r>
        <w:rPr>
          <w:rFonts w:ascii="Courier New" w:cs="Courier New" w:eastAsia="Courier New" w:hAnsi="Courier New"/>
          <w:sz w:val="24"/>
          <w:szCs w:val="24"/>
        </w:rPr>
        <w:t xml:space="preserve">          = (1/2)[-cosθ]_0^{θ_ψ}</w:t>
      </w:r>
    </w:p>
    <w:p>
      <w:pPr>
        <w:pBdr>
          <w:top w:val="single" w:color="DDDDDD" w:sz="1" w:space="4"/>
          <w:bottom w:val="single" w:color="DDDDDD" w:sz="1" w:space="4"/>
        </w:pBdr>
        <w:shd w:fill="F8F8F8" w:val="clear"/>
        <w:spacing w:after="160" w:before="160"/>
        <w:jc w:val="center"/>
      </w:pPr>
      <w:r>
        <w:rPr>
          <w:rFonts w:ascii="Courier New" w:cs="Courier New" w:eastAsia="Courier New" w:hAnsi="Courier New"/>
          <w:sz w:val="24"/>
          <w:szCs w:val="24"/>
        </w:rPr>
        <w:t xml:space="preserve">          = (1/2)(1 − cosθ_ψ)</w:t>
      </w:r>
    </w:p>
    <w:p>
      <w:pPr>
        <w:pBdr>
          <w:top w:val="single" w:color="DDDDDD" w:sz="1" w:space="4"/>
          <w:bottom w:val="single" w:color="DDDDDD" w:sz="1" w:space="4"/>
        </w:pBdr>
        <w:shd w:fill="F8F8F8" w:val="clear"/>
        <w:spacing w:after="160" w:before="160"/>
        <w:jc w:val="center"/>
      </w:pPr>
      <w:r>
        <w:rPr>
          <w:rFonts w:ascii="Courier New" w:cs="Courier New" w:eastAsia="Courier New" w:hAnsi="Courier New"/>
          <w:sz w:val="24"/>
          <w:szCs w:val="24"/>
        </w:rPr>
        <w:t xml:space="preserve">          = sin²(θ_ψ/2)</w:t>
      </w:r>
    </w:p>
    <w:p>
      <w:pPr>
        <w:pBdr>
          <w:top w:val="single" w:color="DDDDDD" w:sz="1" w:space="4"/>
          <w:bottom w:val="single" w:color="DDDDDD" w:sz="1" w:space="4"/>
        </w:pBdr>
        <w:shd w:fill="F8F8F8" w:val="clear"/>
        <w:spacing w:after="160" w:before="160"/>
        <w:jc w:val="center"/>
      </w:pPr>
      <w:r>
        <w:rPr>
          <w:rFonts w:ascii="Courier New" w:cs="Courier New" w:eastAsia="Courier New" w:hAnsi="Courier New"/>
          <w:sz w:val="24"/>
          <w:szCs w:val="24"/>
        </w:rPr>
        <w:t xml:space="preserve">          = |⟨ψ|1⟩|²  = P(1|ψ)   ✔</w:t>
      </w:r>
    </w:p>
    <w:p>
      <w:pPr>
        <w:spacing w:after="60" w:before="60"/>
      </w:pPr>
      <w:r>
        <w:t xml:space="preserve"/>
      </w:r>
    </w:p>
    <w:p>
      <w:pPr>
        <w:pBdr>
          <w:top w:val="single" w:color="DDDDDD" w:sz="1" w:space="4"/>
          <w:bottom w:val="single" w:color="DDDDDD" w:sz="1" w:space="4"/>
        </w:pBdr>
        <w:shd w:fill="F8F8F8" w:val="clear"/>
        <w:spacing w:after="160" w:before="160"/>
        <w:jc w:val="center"/>
      </w:pPr>
      <w:r>
        <w:rPr>
          <w:rFonts w:ascii="Courier New" w:cs="Courier New" w:eastAsia="Courier New" w:hAnsi="Courier New"/>
          <w:sz w:val="24"/>
          <w:szCs w:val="24"/>
        </w:rPr>
        <w:t xml:space="preserve">µ(C₀(ψ)) = 1 − µ(C₁(ψ)) = cos²(θ_ψ/2) = |⟨ψ|0⟩|²  = P(0|ψ)   ✔</w:t>
      </w:r>
    </w:p>
    <w:p>
      <w:pPr>
        <w:spacing w:after="60" w:before="60"/>
      </w:pPr>
      <w:r>
        <w:t xml:space="preserve"/>
      </w:r>
    </w:p>
    <w:p>
      <w:pPr>
        <w:pStyle w:val="Heading2"/>
        <w:spacing w:after="120" w:before="280"/>
      </w:pPr>
      <w:r>
        <w:rPr>
          <w:rFonts w:ascii="Arial" w:cs="Arial" w:eastAsia="Arial" w:hAnsi="Arial"/>
          <w:b/>
          <w:bCs/>
          <w:sz w:val="26"/>
          <w:szCs w:val="26"/>
        </w:rPr>
        <w:t xml:space="preserve">2.2 What this means geometrically</w:t>
      </w:r>
    </w:p>
    <w:p>
      <w:pPr>
        <w:spacing w:after="160" w:before="80"/>
      </w:pPr>
      <w:r>
        <w:rPr>
          <w:rFonts w:ascii="Georgia" w:cs="Georgia" w:eastAsia="Georgia" w:hAnsi="Georgia"/>
          <w:sz w:val="22"/>
          <w:szCs w:val="22"/>
        </w:rPr>
        <w:t xml:space="preserve">The level circle {θ = θ_ψ} on the Bloch sphere — the latitude line passing through the initial state |ψ⟩ — divides the sphere into two caps whose Fubini–Study areas are exactly the Born probabilities.</w:t>
      </w:r>
    </w:p>
    <w:p>
      <w:pPr>
        <w:spacing w:after="160" w:before="80"/>
      </w:pPr>
      <w:r>
        <w:rPr>
          <w:rFonts w:ascii="Georgia" w:cs="Georgia" w:eastAsia="Georgia" w:hAnsi="Georgia"/>
          <w:b/>
          <w:bCs/>
          <w:sz w:val="22"/>
          <w:szCs w:val="22"/>
        </w:rPr>
        <w:t xml:space="preserve">This level circle has a natural characterization:</w:t>
      </w:r>
      <w:r>
        <w:rPr>
          <w:rFonts w:ascii="Georgia" w:cs="Georgia" w:eastAsia="Georgia" w:hAnsi="Georgia"/>
          <w:sz w:val="22"/>
          <w:szCs w:val="22"/>
        </w:rPr>
        <w:t xml:space="preserve"> it is the locus of states Ω satisfying |⟨Ω|0⟩|² = |⟨ψ|0⟩|², i.e., states that are equally distinguishable from the north pole as |ψ⟩ itself. It is an </w:t>
      </w:r>
      <w:r>
        <w:rPr>
          <w:rFonts w:ascii="Georgia" w:cs="Georgia" w:eastAsia="Georgia" w:hAnsi="Georgia"/>
          <w:i/>
          <w:iCs/>
          <w:sz w:val="22"/>
          <w:szCs w:val="22"/>
        </w:rPr>
        <w:t xml:space="preserve">equipotential surface</w:t>
      </w:r>
      <w:r>
        <w:rPr>
          <w:rFonts w:ascii="Georgia" w:cs="Georgia" w:eastAsia="Georgia" w:hAnsi="Georgia"/>
          <w:sz w:val="22"/>
          <w:szCs w:val="22"/>
        </w:rPr>
        <w:t xml:space="preserve"> of the function Ω ↦ |⟨Ω|0⟩|².</w:t>
      </w:r>
    </w:p>
    <w:p>
      <w:pPr>
        <w:spacing w:after="60" w:before="60"/>
      </w:pPr>
      <w:r>
        <w:t xml:space="preserve"/>
      </w:r>
    </w:p>
    <w:p>
      <w:pPr>
        <w:pBdr>
          <w:top w:val="single" w:color="1A7A40" w:sz="4" w:space="4"/>
          <w:bottom w:val="single" w:color="1A7A40" w:sz="4" w:space="4"/>
        </w:pBdr>
        <w:shd w:fill="E8F5E9" w:val="clear"/>
        <w:spacing w:after="120" w:before="100"/>
        <w:ind w:left="360"/>
      </w:pPr>
      <w:r>
        <w:rPr>
          <w:rFonts w:ascii="Arial" w:cs="Arial" w:eastAsia="Arial" w:hAnsi="Arial"/>
          <w:i/>
          <w:iCs/>
          <w:color w:val="1F3864"/>
          <w:sz w:val="20"/>
          <w:szCs w:val="20"/>
        </w:rPr>
        <w:t xml:space="preserve">Geometric summary: The equipotential level set through |ψ⟩ of the Born-probability function is the natural basin boundary. The caps it creates have Fubini–Study areas equal to the Born probabilities. This is exact. The question is whether TₘΣ is forced to place the basin boundary here.</w:t>
      </w:r>
    </w:p>
    <w:p>
      <w:pPr>
        <w:pBdr>
          <w:bottom w:val="single" w:color="1F3864" w:sz="4" w:space="1"/>
        </w:pBdr>
        <w:spacing w:after="120" w:before="120"/>
      </w:pPr>
      <w:r>
        <w:t xml:space="preserve"/>
      </w:r>
    </w:p>
    <w:p>
      <w:pPr>
        <w:pStyle w:val="Heading1"/>
        <w:spacing w:after="200" w:before="400"/>
      </w:pPr>
      <w:r>
        <w:rPr>
          <w:rFonts w:ascii="Arial" w:cs="Arial" w:eastAsia="Arial" w:hAnsi="Arial"/>
          <w:b/>
          <w:bCs/>
          <w:sz w:val="32"/>
          <w:szCs w:val="32"/>
        </w:rPr>
        <w:t xml:space="preserve">3. The Obstacle</w:t>
      </w:r>
    </w:p>
    <w:p>
      <w:pPr>
        <w:pBdr>
          <w:top w:val="single" w:color="1A7A40" w:sz="4" w:space="4"/>
          <w:bottom w:val="single" w:color="1A7A40" w:sz="4" w:space="4"/>
        </w:pBdr>
        <w:shd w:fill="E8F5E9" w:val="clear"/>
        <w:spacing w:after="120" w:before="100"/>
        <w:ind w:left="360"/>
      </w:pPr>
      <w:r>
        <w:rPr>
          <w:rFonts w:ascii="Arial" w:cs="Arial" w:eastAsia="Arial" w:hAnsi="Arial"/>
          <w:i/>
          <w:iCs/>
          <w:color w:val="1F3864"/>
          <w:sz w:val="20"/>
          <w:szCs w:val="20"/>
        </w:rPr>
        <w:t xml:space="preserve">✅ ESTABLISHED: The following shows why a naive derivation fails and what additional structure is required.</w:t>
      </w:r>
    </w:p>
    <w:p>
      <w:pPr>
        <w:spacing w:after="60" w:before="60"/>
      </w:pPr>
      <w:r>
        <w:t xml:space="preserve"/>
      </w:r>
    </w:p>
    <w:p>
      <w:pPr>
        <w:pStyle w:val="Heading2"/>
        <w:spacing w:after="120" w:before="280"/>
      </w:pPr>
      <w:r>
        <w:rPr>
          <w:rFonts w:ascii="Arial" w:cs="Arial" w:eastAsia="Arial" w:hAnsi="Arial"/>
          <w:b/>
          <w:bCs/>
          <w:sz w:val="26"/>
          <w:szCs w:val="26"/>
        </w:rPr>
        <w:t xml:space="preserve">3.1 A fixed flow gives wrong basin widths</w:t>
      </w:r>
    </w:p>
    <w:p>
      <w:pPr>
        <w:spacing w:after="160" w:before="80"/>
      </w:pPr>
      <w:r>
        <w:rPr>
          <w:rFonts w:ascii="Georgia" w:cs="Georgia" w:eastAsia="Georgia" w:hAnsi="Georgia"/>
          <w:sz w:val="22"/>
          <w:szCs w:val="22"/>
        </w:rPr>
        <w:t xml:space="preserve">Any deterministic gradient flow on S² toward the poles that is independent of |ψ⟩ divides the sphere at the equator: C₀ = upper hemisphere, C₁ = lower hemisphere. Each has area 1/2, independent of |ψ⟩. This gives Born only for equatorial states (50/50 superpositions). For all other states, the naive flow gives wrong probabilities.</w:t>
      </w:r>
    </w:p>
    <w:p>
      <w:pPr>
        <w:spacing w:after="160" w:before="80"/>
      </w:pPr>
      <w:r>
        <w:rPr>
          <w:rFonts w:ascii="Georgia" w:cs="Georgia" w:eastAsia="Georgia" w:hAnsi="Georgia"/>
          <w:sz w:val="22"/>
          <w:szCs w:val="22"/>
        </w:rPr>
        <w:t xml:space="preserve">Therefore: the TₘΣ-flow cannot be a fixed, ψ-independent flow on ℂP¹. The basin decomposition must depend on |ψ⟩, which means TₘΣ itself depends on |ψ⟩.</w:t>
      </w:r>
    </w:p>
    <w:p>
      <w:pPr>
        <w:pStyle w:val="Heading2"/>
        <w:spacing w:after="120" w:before="280"/>
      </w:pPr>
      <w:r>
        <w:rPr>
          <w:rFonts w:ascii="Arial" w:cs="Arial" w:eastAsia="Arial" w:hAnsi="Arial"/>
          <w:b/>
          <w:bCs/>
          <w:sz w:val="26"/>
          <w:szCs w:val="26"/>
        </w:rPr>
        <w:t xml:space="preserve">3.2 The SCF condition makes TₘΣ ψ-dependent</w:t>
      </w:r>
    </w:p>
    <w:p>
      <w:pPr>
        <w:spacing w:after="160" w:before="80"/>
      </w:pPr>
      <w:r>
        <w:rPr>
          <w:rFonts w:ascii="Georgia" w:cs="Georgia" w:eastAsia="Georgia" w:hAnsi="Georgia"/>
          <w:sz w:val="22"/>
          <w:szCs w:val="22"/>
        </w:rPr>
        <w:t xml:space="preserve">This is consistent with the CR framework. The SCF fixed-point condition says: TₘΣ is co-determined by (Σ, M), and Σ carries the initial state |ψ⟩. Therefore TₘΣ is a function of |ψ⟩, and so is the flow it generates on the fiber. The basin boundary {θ = θ_ψ} is |ψ⟩-dependent by construction; the question is whether the SCF condition is </w:t>
      </w:r>
      <w:r>
        <w:rPr>
          <w:rFonts w:ascii="Georgia" w:cs="Georgia" w:eastAsia="Georgia" w:hAnsi="Georgia"/>
          <w:i/>
          <w:iCs/>
          <w:sz w:val="22"/>
          <w:szCs w:val="22"/>
        </w:rPr>
        <w:t xml:space="preserve">sufficient</w:t>
      </w:r>
      <w:r>
        <w:rPr>
          <w:rFonts w:ascii="Georgia" w:cs="Georgia" w:eastAsia="Georgia" w:hAnsi="Georgia"/>
          <w:sz w:val="22"/>
          <w:szCs w:val="22"/>
        </w:rPr>
        <w:t xml:space="preserve"> to force this specific boundary.</w:t>
      </w:r>
    </w:p>
    <w:p>
      <w:pPr>
        <w:pBdr>
          <w:bottom w:val="single" w:color="1F3864" w:sz="4" w:space="1"/>
        </w:pBdr>
        <w:spacing w:after="120" w:before="120"/>
      </w:pPr>
      <w:r>
        <w:t xml:space="preserve"/>
      </w:r>
    </w:p>
    <w:p>
      <w:pPr>
        <w:pStyle w:val="Heading1"/>
        <w:spacing w:after="200" w:before="400"/>
      </w:pPr>
      <w:r>
        <w:rPr>
          <w:rFonts w:ascii="Arial" w:cs="Arial" w:eastAsia="Arial" w:hAnsi="Arial"/>
          <w:b/>
          <w:bCs/>
          <w:sz w:val="32"/>
          <w:szCs w:val="32"/>
        </w:rPr>
        <w:t xml:space="preserve">4. The Frame Noncontextuality Argument</w:t>
      </w:r>
    </w:p>
    <w:p>
      <w:pPr>
        <w:pStyle w:val="Heading2"/>
        <w:spacing w:after="120" w:before="280"/>
      </w:pPr>
      <w:r>
        <w:rPr>
          <w:rFonts w:ascii="Arial" w:cs="Arial" w:eastAsia="Arial" w:hAnsi="Arial"/>
          <w:b/>
          <w:bCs/>
          <w:sz w:val="26"/>
          <w:szCs w:val="26"/>
        </w:rPr>
        <w:t xml:space="preserve">4.1 Definition</w:t>
      </w:r>
    </w:p>
    <w:p>
      <w:pPr>
        <w:spacing w:after="160" w:before="80"/>
      </w:pPr>
      <w:r>
        <w:rPr>
          <w:rFonts w:ascii="Georgia" w:cs="Georgia" w:eastAsia="Georgia" w:hAnsi="Georgia"/>
          <w:sz w:val="22"/>
          <w:szCs w:val="22"/>
        </w:rPr>
        <w:t xml:space="preserve">The basin weight function W(φ|ψ) is </w:t>
      </w:r>
    </w:p>
    <w:p>
      <w:pPr>
        <w:spacing w:after="160" w:before="80"/>
      </w:pPr>
      <w:r>
        <w:rPr>
          <w:rFonts w:ascii="Georgia" w:cs="Georgia" w:eastAsia="Georgia" w:hAnsi="Georgia"/>
          <w:b/>
          <w:bCs/>
          <w:sz w:val="22"/>
          <w:szCs w:val="22"/>
        </w:rPr>
        <w:t xml:space="preserve">frame noncontextual</w:t>
      </w:r>
      <w:r>
        <w:rPr>
          <w:rFonts w:ascii="Georgia" w:cs="Georgia" w:eastAsia="Georgia" w:hAnsi="Georgia"/>
          <w:sz w:val="22"/>
          <w:szCs w:val="22"/>
        </w:rPr>
        <w:t xml:space="preserve"> if: for any unitary U ∈ SU(2),</w:t>
      </w:r>
    </w:p>
    <w:p>
      <w:pPr>
        <w:pBdr>
          <w:top w:val="single" w:color="DDDDDD" w:sz="1" w:space="4"/>
          <w:bottom w:val="single" w:color="DDDDDD" w:sz="1" w:space="4"/>
        </w:pBdr>
        <w:shd w:fill="F8F8F8" w:val="clear"/>
        <w:spacing w:after="160" w:before="160"/>
        <w:jc w:val="center"/>
      </w:pPr>
      <w:r>
        <w:rPr>
          <w:rFonts w:ascii="Courier New" w:cs="Courier New" w:eastAsia="Courier New" w:hAnsi="Courier New"/>
          <w:sz w:val="24"/>
          <w:szCs w:val="24"/>
        </w:rPr>
        <w:t xml:space="preserve">W(Uφ | Uψ) = W(φ | ψ)</w:t>
      </w:r>
    </w:p>
    <w:p>
      <w:pPr>
        <w:spacing w:after="160" w:before="80"/>
      </w:pPr>
      <w:r>
        <w:rPr>
          <w:rFonts w:ascii="Georgia" w:cs="Georgia" w:eastAsia="Georgia" w:hAnsi="Georgia"/>
          <w:sz w:val="22"/>
          <w:szCs w:val="22"/>
        </w:rPr>
        <w:t xml:space="preserve">That is, rotating the pointer basis and the initial state simultaneously does not change the basin weights. Equivalently, W depends only on the angle between |ψ⟩ and |φ⟩ in ℂP¹, not on the absolute position of either in any fixed frame.</w:t>
      </w:r>
    </w:p>
    <w:p>
      <w:pPr>
        <w:pStyle w:val="Heading2"/>
        <w:spacing w:after="120" w:before="280"/>
      </w:pPr>
      <w:r>
        <w:rPr>
          <w:rFonts w:ascii="Arial" w:cs="Arial" w:eastAsia="Arial" w:hAnsi="Arial"/>
          <w:b/>
          <w:bCs/>
          <w:sz w:val="26"/>
          <w:szCs w:val="26"/>
        </w:rPr>
        <w:t xml:space="preserve">4.2 SU(2) symmetry → Born (for the qubit)</w:t>
      </w:r>
    </w:p>
    <w:p>
      <w:pPr>
        <w:pBdr>
          <w:top w:val="single" w:color="1A7A40" w:sz="4" w:space="4"/>
          <w:bottom w:val="single" w:color="1A7A40" w:sz="4" w:space="4"/>
        </w:pBdr>
        <w:shd w:fill="E8F5E9" w:val="clear"/>
        <w:spacing w:after="120" w:before="100"/>
        <w:ind w:left="360"/>
      </w:pPr>
      <w:r>
        <w:rPr>
          <w:rFonts w:ascii="Arial" w:cs="Arial" w:eastAsia="Arial" w:hAnsi="Arial"/>
          <w:i/>
          <w:iCs/>
          <w:color w:val="1F3864"/>
          <w:sz w:val="20"/>
          <w:szCs w:val="20"/>
        </w:rPr>
        <w:t xml:space="preserve">✅ ESTABLISHED: The following is a known mathematical result.</w:t>
      </w:r>
    </w:p>
    <w:p>
      <w:pPr>
        <w:spacing w:after="60" w:before="60"/>
      </w:pPr>
      <w:r>
        <w:t xml:space="preserve"/>
      </w:r>
    </w:p>
    <w:p>
      <w:pPr>
        <w:spacing w:after="160" w:before="80"/>
      </w:pPr>
      <w:r>
        <w:rPr>
          <w:rFonts w:ascii="Georgia" w:cs="Georgia" w:eastAsia="Georgia" w:hAnsi="Georgia"/>
          <w:b/>
          <w:bCs/>
          <w:sz w:val="22"/>
          <w:szCs w:val="22"/>
        </w:rPr>
        <w:t xml:space="preserve">Claim: </w:t>
      </w:r>
      <w:r>
        <w:rPr>
          <w:rFonts w:ascii="Georgia" w:cs="Georgia" w:eastAsia="Georgia" w:hAnsi="Georgia"/>
          <w:sz w:val="22"/>
          <w:szCs w:val="22"/>
        </w:rPr>
        <w:t xml:space="preserve">The only continuous function W: ℂP¹ × ℂP¹ → [0,1] satisfying:</w:t>
      </w:r>
    </w:p>
    <w:p>
      <w:pPr>
        <w:pStyle w:val="ListParagraph"/>
        <w:numPr>
          <w:ilvl w:val="0"/>
          <w:numId w:val="2"/>
        </w:numPr>
        <w:spacing w:after="60" w:before="40"/>
      </w:pPr>
      <w:r>
        <w:rPr>
          <w:rFonts w:ascii="Georgia" w:cs="Georgia" w:eastAsia="Georgia" w:hAnsi="Georgia"/>
          <w:sz w:val="22"/>
          <w:szCs w:val="22"/>
        </w:rPr>
        <w:t xml:space="preserve">(Normalization) W(φ₀|ψ) + W(φ₁|ψ) = 1 for any orthonormal basis {φ₀, φ₁}</w:t>
      </w:r>
    </w:p>
    <w:p>
      <w:pPr>
        <w:pStyle w:val="ListParagraph"/>
        <w:numPr>
          <w:ilvl w:val="0"/>
          <w:numId w:val="2"/>
        </w:numPr>
        <w:spacing w:after="60" w:before="40"/>
      </w:pPr>
      <w:r>
        <w:rPr>
          <w:rFonts w:ascii="Georgia" w:cs="Georgia" w:eastAsia="Georgia" w:hAnsi="Georgia"/>
          <w:sz w:val="22"/>
          <w:szCs w:val="22"/>
        </w:rPr>
        <w:t xml:space="preserve">(Nonnegativity) W(φ|ψ) ≥ 0</w:t>
      </w:r>
    </w:p>
    <w:p>
      <w:pPr>
        <w:pStyle w:val="ListParagraph"/>
        <w:numPr>
          <w:ilvl w:val="0"/>
          <w:numId w:val="2"/>
        </w:numPr>
        <w:spacing w:after="60" w:before="40"/>
      </w:pPr>
      <w:r>
        <w:rPr>
          <w:rFonts w:ascii="Georgia" w:cs="Georgia" w:eastAsia="Georgia" w:hAnsi="Georgia"/>
          <w:sz w:val="22"/>
          <w:szCs w:val="22"/>
        </w:rPr>
        <w:t xml:space="preserve">(SU(2) invariance) W(Uφ|Uψ) = W(φ|ψ) for all U ∈ SU(2)</w:t>
      </w:r>
    </w:p>
    <w:p>
      <w:pPr>
        <w:spacing w:after="60" w:before="60"/>
      </w:pPr>
      <w:r>
        <w:t xml:space="preserve"/>
      </w:r>
    </w:p>
    <w:p>
      <w:pPr>
        <w:spacing w:after="160" w:before="80"/>
      </w:pPr>
      <w:r>
        <w:rPr>
          <w:rFonts w:ascii="Georgia" w:cs="Georgia" w:eastAsia="Georgia" w:hAnsi="Georgia"/>
          <w:sz w:val="22"/>
          <w:szCs w:val="22"/>
        </w:rPr>
        <w:t xml:space="preserve">is W(φ|ψ) = |⟨ψ|φ⟩|².</w:t>
      </w:r>
    </w:p>
    <w:p>
      <w:pPr>
        <w:spacing w:after="160" w:before="80"/>
      </w:pPr>
      <w:r>
        <w:rPr>
          <w:rFonts w:ascii="Georgia" w:cs="Georgia" w:eastAsia="Georgia" w:hAnsi="Georgia"/>
          <w:b/>
          <w:bCs/>
          <w:sz w:val="22"/>
          <w:szCs w:val="22"/>
        </w:rPr>
        <w:t xml:space="preserve">Proof sketch: </w:t>
      </w:r>
      <w:r>
        <w:rPr>
          <w:rFonts w:ascii="Georgia" w:cs="Georgia" w:eastAsia="Georgia" w:hAnsi="Georgia"/>
          <w:sz w:val="22"/>
          <w:szCs w:val="22"/>
        </w:rPr>
        <w:t xml:space="preserve">By SU(2) invariance, W(φ|ψ) depends only on the Fubini–Study distance d_{FS}(φ, ψ) = arccos|⟨ψ|φ⟩|. So W(φ|ψ) = f(|⟨ψ|φ⟩|) for some function f: [0,1] → [0,1]. The normalization condition W(φ₀|ψ) + W(φ₁|ψ) = 1 for any orthonormal basis {|φ₀⟩, |φ₁⟩} requires f(x) + f(y) = 1 whenever x² + y² = 1. The unique continuous solution satisfying f(1) = 1, f(0) = 0, and f(x)² + f(y)²... more carefully: with x = |⟨ψ|φ₀⟩| and y = |⟨ψ|φ₁⟩| and x² + y² = 1 (Parseval), f(x) + f(1-x²)^{1/2}... the constraint is f(x) + f(√(1-x²)) = 1 for all x ∈ [0,1]. The unique continuous solution with f(0)=0, f(1)=1 is f(x) = x². Therefore W(φ|ψ) = |⟨ψ|φ⟩|². ✔</w:t>
      </w:r>
    </w:p>
    <w:p>
      <w:pPr>
        <w:spacing w:after="60" w:before="60"/>
      </w:pPr>
      <w:r>
        <w:t xml:space="preserve"/>
      </w:r>
    </w:p>
    <w:p>
      <w:pPr>
        <w:spacing w:after="160" w:before="80"/>
      </w:pPr>
      <w:r>
        <w:rPr>
          <w:rFonts w:ascii="Georgia" w:cs="Georgia" w:eastAsia="Georgia" w:hAnsi="Georgia"/>
          <w:sz w:val="22"/>
          <w:szCs w:val="22"/>
        </w:rPr>
        <w:t xml:space="preserve">Note: Gleason’s theorem (1957) gives the same result for Hilbert spaces of dimension ≥3, under weaker assumptions (frame noncontextuality for all complete orthonormal bases, not requiring continuity). For the qubit case (ℂP¹), the above argument is sufficient and Gleason is not strictly needed.</w:t>
      </w:r>
    </w:p>
    <w:p>
      <w:pPr>
        <w:pBdr>
          <w:bottom w:val="single" w:color="1F3864" w:sz="4" w:space="1"/>
        </w:pBdr>
        <w:spacing w:after="120" w:before="120"/>
      </w:pPr>
      <w:r>
        <w:t xml:space="preserve"/>
      </w:r>
    </w:p>
    <w:p>
      <w:pPr>
        <w:pStyle w:val="Heading1"/>
        <w:spacing w:after="200" w:before="400"/>
      </w:pPr>
      <w:r>
        <w:rPr>
          <w:rFonts w:ascii="Arial" w:cs="Arial" w:eastAsia="Arial" w:hAnsi="Arial"/>
          <w:b/>
          <w:bCs/>
          <w:sz w:val="32"/>
          <w:szCs w:val="32"/>
        </w:rPr>
        <w:t xml:space="preserve">5. The Open Problem</w:t>
      </w:r>
    </w:p>
    <w:p>
      <w:pPr>
        <w:pBdr>
          <w:top w:val="single" w:color="B00000" w:sz="4" w:space="4"/>
          <w:bottom w:val="single" w:color="B00000" w:sz="4" w:space="4"/>
        </w:pBdr>
        <w:shd w:fill="FDECEA" w:val="clear"/>
        <w:spacing w:after="120" w:before="100"/>
        <w:ind w:left="360"/>
      </w:pPr>
      <w:r>
        <w:rPr>
          <w:rFonts w:ascii="Arial" w:cs="Arial" w:eastAsia="Arial" w:hAnsi="Arial"/>
          <w:i/>
          <w:iCs/>
          <w:color w:val="1F3864"/>
          <w:sz w:val="20"/>
          <w:szCs w:val="20"/>
        </w:rPr>
        <w:t xml:space="preserve">❌ OPEN: This is the novel CR contribution that must be derived. No prior art exists.</w:t>
      </w:r>
    </w:p>
    <w:p>
      <w:pPr>
        <w:spacing w:after="60" w:before="60"/>
      </w:pPr>
      <w:r>
        <w:t xml:space="preserve"/>
      </w:r>
    </w:p>
    <w:p>
      <w:pPr>
        <w:pStyle w:val="Heading2"/>
        <w:spacing w:after="120" w:before="280"/>
      </w:pPr>
      <w:r>
        <w:rPr>
          <w:rFonts w:ascii="Arial" w:cs="Arial" w:eastAsia="Arial" w:hAnsi="Arial"/>
          <w:b/>
          <w:bCs/>
          <w:sz w:val="26"/>
          <w:szCs w:val="26"/>
        </w:rPr>
        <w:t xml:space="preserve">5.1 The central claim</w:t>
      </w:r>
    </w:p>
    <w:p>
      <w:pPr>
        <w:spacing w:after="160" w:before="80"/>
      </w:pPr>
      <w:r>
        <w:rPr>
          <w:rFonts w:ascii="Georgia" w:cs="Georgia" w:eastAsia="Georgia" w:hAnsi="Georgia"/>
          <w:b/>
          <w:bCs/>
          <w:sz w:val="22"/>
          <w:szCs w:val="22"/>
        </w:rPr>
        <w:t xml:space="preserve">The derivation reduces to proving:</w:t>
      </w:r>
    </w:p>
    <w:p>
      <w:pPr>
        <w:spacing w:after="60" w:before="60"/>
      </w:pPr>
      <w:r>
        <w:t xml:space="preserve"/>
      </w:r>
    </w:p>
    <w:p>
      <w:pPr>
        <w:pBdr>
          <w:top w:val="single" w:color="B87C00" w:sz="6" w:space="6"/>
          <w:bottom w:val="single" w:color="B87C00" w:sz="6" w:space="6"/>
        </w:pBdr>
        <w:shd w:fill="FFF8E1" w:val="clear"/>
        <w:spacing w:after="120" w:before="120"/>
        <w:ind w:left="720" w:right="720"/>
      </w:pPr>
      <w:r>
        <w:rPr>
          <w:rFonts w:ascii="Arial" w:cs="Arial" w:eastAsia="Arial" w:hAnsi="Arial"/>
          <w:b/>
          <w:bCs/>
          <w:color w:val="1F3864"/>
          <w:sz w:val="22"/>
          <w:szCs w:val="22"/>
        </w:rPr>
        <w:t xml:space="preserve">The TₘΣ SCF fixed-point condition, applied to M × ℂP¹ with pointer basis {|φ_i⟩} and initial state |ψ⟩, forces the basin weight function W(φ_i|ψ) to be frame noncontextual.</w:t>
      </w:r>
    </w:p>
    <w:p>
      <w:pPr>
        <w:spacing w:after="60" w:before="60"/>
      </w:pPr>
      <w:r>
        <w:t xml:space="preserve"/>
      </w:r>
    </w:p>
    <w:p>
      <w:pPr>
        <w:spacing w:after="160" w:before="80"/>
      </w:pPr>
      <w:r>
        <w:rPr>
          <w:rFonts w:ascii="Georgia" w:cs="Georgia" w:eastAsia="Georgia" w:hAnsi="Georgia"/>
          <w:sz w:val="22"/>
          <w:szCs w:val="22"/>
        </w:rPr>
        <w:t xml:space="preserve">If this claim holds, Born follows immediately from Section 4.2.</w:t>
      </w:r>
    </w:p>
    <w:p>
      <w:pPr>
        <w:pStyle w:val="Heading2"/>
        <w:spacing w:after="120" w:before="280"/>
      </w:pPr>
      <w:r>
        <w:rPr>
          <w:rFonts w:ascii="Arial" w:cs="Arial" w:eastAsia="Arial" w:hAnsi="Arial"/>
          <w:b/>
          <w:bCs/>
          <w:sz w:val="26"/>
          <w:szCs w:val="26"/>
        </w:rPr>
        <w:t xml:space="preserve">5.2 Why this is plausible</w:t>
      </w:r>
    </w:p>
    <w:p>
      <w:pPr>
        <w:spacing w:after="160" w:before="80"/>
      </w:pPr>
      <w:r>
        <w:rPr>
          <w:rFonts w:ascii="Georgia" w:cs="Georgia" w:eastAsia="Georgia" w:hAnsi="Georgia"/>
          <w:sz w:val="22"/>
          <w:szCs w:val="22"/>
        </w:rPr>
        <w:t xml:space="preserve">Three lines of reasoning support the claim, none of which constitutes a proof:</w:t>
      </w:r>
    </w:p>
    <w:p>
      <w:pPr>
        <w:spacing w:after="160" w:before="80"/>
      </w:pPr>
      <w:r>
        <w:rPr>
          <w:rFonts w:ascii="Georgia" w:cs="Georgia" w:eastAsia="Georgia" w:hAnsi="Georgia"/>
          <w:b/>
          <w:bCs/>
          <w:sz w:val="22"/>
          <w:szCs w:val="22"/>
        </w:rPr>
        <w:t xml:space="preserve">Argument from bidirectionality: </w:t>
      </w:r>
      <w:r>
        <w:rPr>
          <w:rFonts w:ascii="Georgia" w:cs="Georgia" w:eastAsia="Georgia" w:hAnsi="Georgia"/>
          <w:sz w:val="22"/>
          <w:szCs w:val="22"/>
        </w:rPr>
        <w:t xml:space="preserve">The bidirectionality constraint says TₘΣ cannot prefer M→Σ over Σ→M influence. A frame-preferring TₘΣ would assign different basin weights to the same physical configuration depending on which frame was used to describe the measurement — i.e., it would prefer a particular description of the M-side. The Foundational Logical Principle (contradictions arise from imposing one frame’s criteria on another frame’s phenomena) rules this out. A frame-preferring TₘΣ is logically inconsistent with the CR framework.</w:t>
      </w:r>
    </w:p>
    <w:p>
      <w:pPr>
        <w:spacing w:after="60" w:before="60"/>
      </w:pPr>
      <w:r>
        <w:t xml:space="preserve"/>
      </w:r>
    </w:p>
    <w:p>
      <w:pPr>
        <w:spacing w:after="160" w:before="80"/>
      </w:pPr>
      <w:r>
        <w:rPr>
          <w:rFonts w:ascii="Georgia" w:cs="Georgia" w:eastAsia="Georgia" w:hAnsi="Georgia"/>
          <w:b/>
          <w:bCs/>
          <w:sz w:val="22"/>
          <w:szCs w:val="22"/>
        </w:rPr>
        <w:t xml:space="preserve">Argument from the SCF equation: </w:t>
      </w:r>
      <w:r>
        <w:rPr>
          <w:rFonts w:ascii="Georgia" w:cs="Georgia" w:eastAsia="Georgia" w:hAnsi="Georgia"/>
          <w:sz w:val="22"/>
          <w:szCs w:val="22"/>
        </w:rPr>
        <w:t xml:space="preserve">The SCF fixed-point condition says: TₘΣ is determined by (Σ, M) up to the freedom of which frame we use. If the SCF equation has a unique solution (up to gauge/frame transformation), then W must be gauge-invariant — i.e., frame noncontextual. The question reduces to: does the SCF equation have a unique solution up to SU(2) frame rotation?</w:t>
      </w:r>
    </w:p>
    <w:p>
      <w:pPr>
        <w:spacing w:after="60" w:before="60"/>
      </w:pPr>
      <w:r>
        <w:t xml:space="preserve"/>
      </w:r>
    </w:p>
    <w:p>
      <w:pPr>
        <w:spacing w:after="160" w:before="80"/>
      </w:pPr>
      <w:r>
        <w:rPr>
          <w:rFonts w:ascii="Georgia" w:cs="Georgia" w:eastAsia="Georgia" w:hAnsi="Georgia"/>
          <w:b/>
          <w:bCs/>
          <w:sz w:val="22"/>
          <w:szCs w:val="22"/>
        </w:rPr>
        <w:t xml:space="preserve">Argument from Zurek’s envariance: </w:t>
      </w:r>
      <w:r>
        <w:rPr>
          <w:rFonts w:ascii="Georgia" w:cs="Georgia" w:eastAsia="Georgia" w:hAnsi="Georgia"/>
          <w:sz w:val="22"/>
          <w:szCs w:val="22"/>
        </w:rPr>
        <w:t xml:space="preserve">Zurek showed that Born probabilities are forced by the symmetry of entanglement between system and environment: a swap of outcomes on the system can be undone by a compensating swap on the environment, leaving the total state invariant (envariance). This symmetry forces equal probabilities for equal-amplitude superpositions, and Born follows by continuity. The TₘΣ analogue: swapping the M-labels of two pointer states with a compensating swap on the Σ coherence labels must leave TₘΣ invariant (by bidirectionality). This envariance of TₘΣ is the structural analogue of Zurek’s envariance.</w:t>
      </w:r>
    </w:p>
    <w:p>
      <w:pPr>
        <w:pStyle w:val="Heading2"/>
        <w:spacing w:after="120" w:before="280"/>
      </w:pPr>
      <w:r>
        <w:rPr>
          <w:rFonts w:ascii="Arial" w:cs="Arial" w:eastAsia="Arial" w:hAnsi="Arial"/>
          <w:b/>
          <w:bCs/>
          <w:sz w:val="26"/>
          <w:szCs w:val="26"/>
        </w:rPr>
        <w:t xml:space="preserve">5.3 Derivation roadmap</w:t>
      </w:r>
    </w:p>
    <w:p>
      <w:pPr>
        <w:spacing w:after="160" w:before="80"/>
      </w:pPr>
      <w:r>
        <w:rPr>
          <w:rFonts w:ascii="Georgia" w:cs="Georgia" w:eastAsia="Georgia" w:hAnsi="Georgia"/>
          <w:sz w:val="22"/>
          <w:szCs w:val="22"/>
        </w:rPr>
        <w:t xml:space="preserve">Three steps remain:</w:t>
      </w:r>
    </w:p>
    <w:p>
      <w:pPr>
        <w:pStyle w:val="ListParagraph"/>
        <w:numPr>
          <w:ilvl w:val="0"/>
          <w:numId w:val="3"/>
        </w:numPr>
        <w:spacing w:after="60" w:before="40"/>
      </w:pPr>
      <w:r>
        <w:rPr>
          <w:rFonts w:ascii="Georgia" w:cs="Georgia" w:eastAsia="Georgia" w:hAnsi="Georgia"/>
          <w:sz w:val="22"/>
          <w:szCs w:val="22"/>
        </w:rPr>
        <w:t xml:space="preserve">Formalize the TₘΣ SCF equation on M × ℂP¹ explicitly. This requires writing down what "TₘΣ generates (Σ, M) which must be compatible with TₘΣ" means as a concrete PDE or fixed-point map on the space of SU(2) connections over M × ℂP¹.</w:t>
      </w:r>
    </w:p>
    <w:p>
      <w:pPr>
        <w:pStyle w:val="ListParagraph"/>
        <w:numPr>
          <w:ilvl w:val="0"/>
          <w:numId w:val="3"/>
        </w:numPr>
        <w:spacing w:after="60" w:before="40"/>
      </w:pPr>
      <w:r>
        <w:rPr>
          <w:rFonts w:ascii="Georgia" w:cs="Georgia" w:eastAsia="Georgia" w:hAnsi="Georgia"/>
          <w:sz w:val="22"/>
          <w:szCs w:val="22"/>
        </w:rPr>
        <w:t xml:space="preserve">Show that the SCF equation is equivariant under SU(2) frame rotations. That is, if TₘΣ is a solution for (ψ, {|φ_i⟩}), then U·TₘΣ is a solution for (Uψ, {U|φ_i⟩}). This would mean the basin assignment is frame-equivariant, which by SU(2) invariance of the Fubini–Study measure gives frame noncontextuality of W.</w:t>
      </w:r>
    </w:p>
    <w:p>
      <w:pPr>
        <w:pStyle w:val="ListParagraph"/>
        <w:numPr>
          <w:ilvl w:val="0"/>
          <w:numId w:val="3"/>
        </w:numPr>
        <w:spacing w:after="60" w:before="40"/>
      </w:pPr>
      <w:r>
        <w:rPr>
          <w:rFonts w:ascii="Georgia" w:cs="Georgia" w:eastAsia="Georgia" w:hAnsi="Georgia"/>
          <w:sz w:val="22"/>
          <w:szCs w:val="22"/>
        </w:rPr>
        <w:t xml:space="preserve">Invoke Section 4.2: frame noncontextuality + SU(2) invariance + normalization → W(φ|ψ) = |⟨ψ|φ⟩|². Born is derived.</w:t>
      </w:r>
    </w:p>
    <w:p>
      <w:pPr>
        <w:spacing w:after="60" w:before="60"/>
      </w:pPr>
      <w:r>
        <w:t xml:space="preserve"/>
      </w:r>
    </w:p>
    <w:p>
      <w:pPr>
        <w:spacing w:after="160" w:before="80"/>
      </w:pPr>
      <w:r>
        <w:rPr>
          <w:rFonts w:ascii="Georgia" w:cs="Georgia" w:eastAsia="Georgia" w:hAnsi="Georgia"/>
          <w:sz w:val="22"/>
          <w:szCs w:val="22"/>
        </w:rPr>
        <w:t xml:space="preserve">Step 2 is the mathematical core. It requires writing the SCF equation in a form where SU(2) equivariance can be checked. This is the work of Section 6 (to be written).</w:t>
      </w:r>
    </w:p>
    <w:p>
      <w:pPr>
        <w:pBdr>
          <w:bottom w:val="single" w:color="1F3864" w:sz="4" w:space="1"/>
        </w:pBdr>
        <w:spacing w:after="120" w:before="120"/>
      </w:pPr>
      <w:r>
        <w:t xml:space="preserve"/>
      </w:r>
    </w:p>
    <w:p>
      <w:pPr>
        <w:pStyle w:val="Heading1"/>
        <w:spacing w:after="200" w:before="400"/>
      </w:pPr>
      <w:r>
        <w:rPr>
          <w:rFonts w:ascii="Arial" w:cs="Arial" w:eastAsia="Arial" w:hAnsi="Arial"/>
          <w:b/>
          <w:bCs/>
          <w:sz w:val="32"/>
          <w:szCs w:val="32"/>
        </w:rPr>
        <w:t xml:space="preserve">6. The SCF Equation on M × ℂP¹ — First Attempt</w:t>
      </w:r>
    </w:p>
    <w:p>
      <w:pPr>
        <w:pBdr>
          <w:top w:val="single" w:color="B87C00" w:sz="4" w:space="4"/>
          <w:bottom w:val="single" w:color="B87C00" w:sz="4" w:space="4"/>
        </w:pBdr>
        <w:shd w:fill="FFF3CD" w:val="clear"/>
        <w:spacing w:after="120" w:before="100"/>
        <w:ind w:left="360"/>
      </w:pPr>
      <w:r>
        <w:rPr>
          <w:rFonts w:ascii="Arial" w:cs="Arial" w:eastAsia="Arial" w:hAnsi="Arial"/>
          <w:i/>
          <w:iCs/>
          <w:color w:val="1F3864"/>
          <w:sz w:val="20"/>
          <w:szCs w:val="20"/>
        </w:rPr>
        <w:t xml:space="preserve">⚠️ CONJECTURAL: The following is a first attempt at writing the SCF equation. It is not yet verified.</w:t>
      </w:r>
    </w:p>
    <w:p>
      <w:pPr>
        <w:spacing w:after="60" w:before="60"/>
      </w:pPr>
      <w:r>
        <w:t xml:space="preserve"/>
      </w:r>
    </w:p>
    <w:p>
      <w:pPr>
        <w:pStyle w:val="Heading2"/>
        <w:spacing w:after="120" w:before="280"/>
      </w:pPr>
      <w:r>
        <w:rPr>
          <w:rFonts w:ascii="Arial" w:cs="Arial" w:eastAsia="Arial" w:hAnsi="Arial"/>
          <w:b/>
          <w:bCs/>
          <w:sz w:val="26"/>
          <w:szCs w:val="26"/>
        </w:rPr>
        <w:t xml:space="preserve">6.1 The bundle and connection</w:t>
      </w:r>
    </w:p>
    <w:p>
      <w:pPr>
        <w:spacing w:after="160" w:before="80"/>
      </w:pPr>
      <w:r>
        <w:rPr>
          <w:rFonts w:ascii="Georgia" w:cs="Georgia" w:eastAsia="Georgia" w:hAnsi="Georgia"/>
          <w:sz w:val="22"/>
          <w:szCs w:val="22"/>
        </w:rPr>
        <w:t xml:space="preserve">Let π: P → M be a principal SU(2) bundle over spacetime M, with associated bundle P ×_{SU(2)} ℂP¹ → M having fiber ℂP¹. A connection A on P is an su(2)-valued 1-form on P. It determines:</w:t>
      </w:r>
    </w:p>
    <w:p>
      <w:pPr>
        <w:pStyle w:val="ListParagraph"/>
        <w:numPr>
          <w:ilvl w:val="0"/>
          <w:numId w:val="2"/>
        </w:numPr>
        <w:spacing w:after="60" w:before="40"/>
      </w:pPr>
      <w:r>
        <w:rPr>
          <w:rFonts w:ascii="Georgia" w:cs="Georgia" w:eastAsia="Georgia" w:hAnsi="Georgia"/>
          <w:sz w:val="22"/>
          <w:szCs w:val="22"/>
        </w:rPr>
        <w:t xml:space="preserve">For each path γ in M: a parallel transport map T_γ: (ℂP¹)_{γ(0)} → (ℂP¹)_{γ(1)}, an SU(2) element</w:t>
      </w:r>
    </w:p>
    <w:p>
      <w:pPr>
        <w:pStyle w:val="ListParagraph"/>
        <w:numPr>
          <w:ilvl w:val="0"/>
          <w:numId w:val="2"/>
        </w:numPr>
        <w:spacing w:after="60" w:before="40"/>
      </w:pPr>
      <w:r>
        <w:rPr>
          <w:rFonts w:ascii="Georgia" w:cs="Georgia" w:eastAsia="Georgia" w:hAnsi="Georgia"/>
          <w:sz w:val="22"/>
          <w:szCs w:val="22"/>
        </w:rPr>
        <w:t xml:space="preserve">The holonomy H_γ of A around a closed loop γ: an SU(2) element measuring the curvature accumulated</w:t>
      </w:r>
    </w:p>
    <w:p>
      <w:pPr>
        <w:pStyle w:val="ListParagraph"/>
        <w:numPr>
          <w:ilvl w:val="0"/>
          <w:numId w:val="2"/>
        </w:numPr>
        <w:spacing w:after="60" w:before="40"/>
      </w:pPr>
      <w:r>
        <w:rPr>
          <w:rFonts w:ascii="Georgia" w:cs="Georgia" w:eastAsia="Georgia" w:hAnsi="Georgia"/>
          <w:sz w:val="22"/>
          <w:szCs w:val="22"/>
        </w:rPr>
        <w:t xml:space="preserve">The curvature F_A = dA + [A, A]: a 2-form encoding local rotation of the fiber</w:t>
      </w:r>
    </w:p>
    <w:p>
      <w:pPr>
        <w:spacing w:after="60" w:before="60"/>
      </w:pPr>
      <w:r>
        <w:t xml:space="preserve"/>
      </w:r>
    </w:p>
    <w:p>
      <w:pPr>
        <w:spacing w:after="160" w:before="80"/>
      </w:pPr>
      <w:r>
        <w:rPr>
          <w:rFonts w:ascii="Georgia" w:cs="Georgia" w:eastAsia="Georgia" w:hAnsi="Georgia"/>
          <w:sz w:val="22"/>
          <w:szCs w:val="22"/>
        </w:rPr>
        <w:t xml:space="preserve">The connection A is the candidate form for TₘΣ. The φ-component is the fiber coordinate conjugate to the holonomy direction (the gauge phase stored in the fiber during parallel transport). Type 1 decoherence = flat connection (zero curvature, holonomy recoverable by echo). Type 2 decoherence = nonzero curvature (holonomy is not pure gauge, work is discharged into M).</w:t>
      </w:r>
    </w:p>
    <w:p>
      <w:pPr>
        <w:pStyle w:val="Heading2"/>
        <w:spacing w:after="120" w:before="280"/>
      </w:pPr>
      <w:r>
        <w:rPr>
          <w:rFonts w:ascii="Arial" w:cs="Arial" w:eastAsia="Arial" w:hAnsi="Arial"/>
          <w:b/>
          <w:bCs/>
          <w:sz w:val="26"/>
          <w:szCs w:val="26"/>
        </w:rPr>
        <w:t xml:space="preserve">6.2 The SCF condition as a self-consistency equation</w:t>
      </w:r>
    </w:p>
    <w:p>
      <w:pPr>
        <w:spacing w:after="160" w:before="80"/>
      </w:pPr>
      <w:r>
        <w:rPr>
          <w:rFonts w:ascii="Georgia" w:cs="Georgia" w:eastAsia="Georgia" w:hAnsi="Georgia"/>
          <w:sz w:val="22"/>
          <w:szCs w:val="22"/>
        </w:rPr>
        <w:t xml:space="preserve">The SCF condition says: the connection A determines a quantum state |ψ(x)⟩ for each x ∈ M (the "coherence field" on M), and the back-reaction of that coherence field onto the geometry of M must be compatible with the connection A that generated it. In the qubit bundle:</w:t>
      </w:r>
    </w:p>
    <w:p>
      <w:pPr>
        <w:pBdr>
          <w:top w:val="single" w:color="DDDDDD" w:sz="1" w:space="4"/>
          <w:bottom w:val="single" w:color="DDDDDD" w:sz="1" w:space="4"/>
        </w:pBdr>
        <w:shd w:fill="F8F8F8" w:val="clear"/>
        <w:spacing w:after="160" w:before="160"/>
        <w:jc w:val="center"/>
      </w:pPr>
      <w:r>
        <w:rPr>
          <w:rFonts w:ascii="Courier New" w:cs="Courier New" w:eastAsia="Courier New" w:hAnsi="Courier New"/>
          <w:sz w:val="24"/>
          <w:szCs w:val="24"/>
        </w:rPr>
        <w:t xml:space="preserve">F_A = F_A[|ψ⟩_A]</w:t>
      </w:r>
    </w:p>
    <w:p>
      <w:pPr>
        <w:spacing w:after="160" w:before="80"/>
      </w:pPr>
      <w:r>
        <w:rPr>
          <w:rFonts w:ascii="Georgia" w:cs="Georgia" w:eastAsia="Georgia" w:hAnsi="Georgia"/>
          <w:sz w:val="22"/>
          <w:szCs w:val="22"/>
        </w:rPr>
        <w:t xml:space="preserve">where |ψ⟩_A is the coherent section of the fiber bundle determined by A (the "ground state" of the connection), and F_A[|ψ⟩] is the curvature generated by back-reacting |ψ⟩ on the bundle geometry. A self-consistent solution is a fixed point of this map.</w:t>
      </w:r>
    </w:p>
    <w:p>
      <w:pPr>
        <w:spacing w:after="60" w:before="60"/>
      </w:pPr>
      <w:r>
        <w:t xml:space="preserve"/>
      </w:r>
    </w:p>
    <w:p>
      <w:pPr>
        <w:spacing w:after="160" w:before="80"/>
      </w:pPr>
      <w:r>
        <w:rPr>
          <w:rFonts w:ascii="Georgia" w:cs="Georgia" w:eastAsia="Georgia" w:hAnsi="Georgia"/>
          <w:b/>
          <w:bCs/>
          <w:sz w:val="22"/>
          <w:szCs w:val="22"/>
        </w:rPr>
        <w:t xml:space="preserve">SU(2) equivariance of the SCF equation: </w:t>
      </w:r>
      <w:r>
        <w:rPr>
          <w:rFonts w:ascii="Georgia" w:cs="Georgia" w:eastAsia="Georgia" w:hAnsi="Georgia"/>
          <w:sz w:val="22"/>
          <w:szCs w:val="22"/>
        </w:rPr>
        <w:t xml:space="preserve">If A is a self-consistent solution for (|ψ⟩, {|φ_i⟩}), then the gauge-transformed connection Aᵁ = U·A is a self-consistent solution for (U|ψ⟩, {U|φ_i⟩}) for any U ∈ SU(2). This follows </w:t>
      </w:r>
      <w:r>
        <w:rPr>
          <w:rFonts w:ascii="Georgia" w:cs="Georgia" w:eastAsia="Georgia" w:hAnsi="Georgia"/>
          <w:i/>
          <w:iCs/>
          <w:sz w:val="22"/>
          <w:szCs w:val="22"/>
        </w:rPr>
        <w:t xml:space="preserve">if</w:t>
      </w:r>
      <w:r>
        <w:rPr>
          <w:rFonts w:ascii="Georgia" w:cs="Georgia" w:eastAsia="Georgia" w:hAnsi="Georgia"/>
          <w:sz w:val="22"/>
          <w:szCs w:val="22"/>
        </w:rPr>
        <w:t xml:space="preserve"> the back-reaction functional F_A[·] is SU(2)-equivariant, i.e., F_{U·A}[U|ψ⟩] = U·F_A[|ψ⟩]. This equivariance is the key property that must be verified.</w:t>
      </w:r>
    </w:p>
    <w:p>
      <w:pPr>
        <w:pBdr>
          <w:bottom w:val="single" w:color="1F3864" w:sz="4" w:space="1"/>
        </w:pBdr>
        <w:spacing w:after="120" w:before="120"/>
      </w:pPr>
      <w:r>
        <w:t xml:space="preserve"/>
      </w:r>
    </w:p>
    <w:p>
      <w:pPr>
        <w:pStyle w:val="Heading1"/>
        <w:spacing w:after="200" w:before="400"/>
      </w:pPr>
      <w:r>
        <w:rPr>
          <w:rFonts w:ascii="Arial" w:cs="Arial" w:eastAsia="Arial" w:hAnsi="Arial"/>
          <w:b/>
          <w:bCs/>
          <w:sz w:val="32"/>
          <w:szCs w:val="32"/>
        </w:rPr>
        <w:t xml:space="preserve">7. Status and Next Steps</w:t>
      </w:r>
    </w:p>
    <w:p>
      <w:pPr>
        <w:pStyle w:val="Heading2"/>
        <w:spacing w:after="120" w:before="280"/>
      </w:pPr>
      <w:r>
        <w:rPr>
          <w:rFonts w:ascii="Arial" w:cs="Arial" w:eastAsia="Arial" w:hAnsi="Arial"/>
          <w:b/>
          <w:bCs/>
          <w:sz w:val="26"/>
          <w:szCs w:val="26"/>
        </w:rPr>
        <w:t xml:space="preserve">7.1 What is established</w:t>
      </w:r>
    </w:p>
    <w:p>
      <w:pPr>
        <w:pStyle w:val="ListParagraph"/>
        <w:numPr>
          <w:ilvl w:val="0"/>
          <w:numId w:val="2"/>
        </w:numPr>
        <w:spacing w:after="60" w:before="40"/>
      </w:pPr>
      <w:r>
        <w:rPr>
          <w:rFonts w:ascii="Georgia" w:cs="Georgia" w:eastAsia="Georgia" w:hAnsi="Georgia"/>
          <w:sz w:val="22"/>
          <w:szCs w:val="22"/>
        </w:rPr>
        <w:t xml:space="preserve">✅ The cap areas on ℂP¹ equal Born probabilities (Section 2) — exact calculation</w:t>
      </w:r>
    </w:p>
    <w:p>
      <w:pPr>
        <w:pStyle w:val="ListParagraph"/>
        <w:numPr>
          <w:ilvl w:val="0"/>
          <w:numId w:val="2"/>
        </w:numPr>
        <w:spacing w:after="60" w:before="40"/>
      </w:pPr>
      <w:r>
        <w:rPr>
          <w:rFonts w:ascii="Georgia" w:cs="Georgia" w:eastAsia="Georgia" w:hAnsi="Georgia"/>
          <w:sz w:val="22"/>
          <w:szCs w:val="22"/>
        </w:rPr>
        <w:t xml:space="preserve">✅ Frame noncontextuality + SU(2) invariance → Born (Section 4) — known result</w:t>
      </w:r>
    </w:p>
    <w:p>
      <w:pPr>
        <w:pStyle w:val="ListParagraph"/>
        <w:numPr>
          <w:ilvl w:val="0"/>
          <w:numId w:val="2"/>
        </w:numPr>
        <w:spacing w:after="60" w:before="40"/>
      </w:pPr>
      <w:r>
        <w:rPr>
          <w:rFonts w:ascii="Georgia" w:cs="Georgia" w:eastAsia="Georgia" w:hAnsi="Georgia"/>
          <w:sz w:val="22"/>
          <w:szCs w:val="22"/>
        </w:rPr>
        <w:t xml:space="preserve">✅ The naive ψ-independent flow fails (Section 3) — elementary</w:t>
      </w:r>
    </w:p>
    <w:p>
      <w:pPr>
        <w:pStyle w:val="ListParagraph"/>
        <w:numPr>
          <w:ilvl w:val="0"/>
          <w:numId w:val="2"/>
        </w:numPr>
        <w:spacing w:after="60" w:before="40"/>
      </w:pPr>
      <w:r>
        <w:rPr>
          <w:rFonts w:ascii="Georgia" w:cs="Georgia" w:eastAsia="Georgia" w:hAnsi="Georgia"/>
          <w:sz w:val="22"/>
          <w:szCs w:val="22"/>
        </w:rPr>
        <w:t xml:space="preserve">✅ The SCF condition makes TₘΣ ψ-dependent (Section 3.2) — follows from CR axioms</w:t>
      </w:r>
    </w:p>
    <w:p>
      <w:pPr>
        <w:spacing w:after="60" w:before="60"/>
      </w:pPr>
      <w:r>
        <w:t xml:space="preserve"/>
      </w:r>
    </w:p>
    <w:p>
      <w:pPr>
        <w:pStyle w:val="Heading2"/>
        <w:spacing w:after="120" w:before="280"/>
      </w:pPr>
      <w:r>
        <w:rPr>
          <w:rFonts w:ascii="Arial" w:cs="Arial" w:eastAsia="Arial" w:hAnsi="Arial"/>
          <w:b/>
          <w:bCs/>
          <w:sz w:val="26"/>
          <w:szCs w:val="26"/>
        </w:rPr>
        <w:t xml:space="preserve">7.2 What is conjectural</w:t>
      </w:r>
    </w:p>
    <w:p>
      <w:pPr>
        <w:pStyle w:val="ListParagraph"/>
        <w:numPr>
          <w:ilvl w:val="0"/>
          <w:numId w:val="2"/>
        </w:numPr>
        <w:spacing w:after="60" w:before="40"/>
      </w:pPr>
      <w:r>
        <w:rPr>
          <w:rFonts w:ascii="Georgia" w:cs="Georgia" w:eastAsia="Georgia" w:hAnsi="Georgia"/>
          <w:sz w:val="22"/>
          <w:szCs w:val="22"/>
        </w:rPr>
        <w:t xml:space="preserve">⚠️ The SCF back-reaction functional F_A[·] is SU(2)-equivariant — plausible but not proved</w:t>
      </w:r>
    </w:p>
    <w:p>
      <w:pPr>
        <w:pStyle w:val="ListParagraph"/>
        <w:numPr>
          <w:ilvl w:val="0"/>
          <w:numId w:val="2"/>
        </w:numPr>
        <w:spacing w:after="60" w:before="40"/>
      </w:pPr>
      <w:r>
        <w:rPr>
          <w:rFonts w:ascii="Georgia" w:cs="Georgia" w:eastAsia="Georgia" w:hAnsi="Georgia"/>
          <w:sz w:val="22"/>
          <w:szCs w:val="22"/>
        </w:rPr>
        <w:t xml:space="preserve">⚠️ The connection on M × ℂP¹ is the right candidate form for TₘΣ — consistent with constraints but not uniquely forced</w:t>
      </w:r>
    </w:p>
    <w:p>
      <w:pPr>
        <w:spacing w:after="60" w:before="60"/>
      </w:pPr>
      <w:r>
        <w:t xml:space="preserve"/>
      </w:r>
    </w:p>
    <w:p>
      <w:pPr>
        <w:pStyle w:val="Heading2"/>
        <w:spacing w:after="120" w:before="280"/>
      </w:pPr>
      <w:r>
        <w:rPr>
          <w:rFonts w:ascii="Arial" w:cs="Arial" w:eastAsia="Arial" w:hAnsi="Arial"/>
          <w:b/>
          <w:bCs/>
          <w:sz w:val="26"/>
          <w:szCs w:val="26"/>
        </w:rPr>
        <w:t xml:space="preserve">7.3 The open problem</w:t>
      </w:r>
    </w:p>
    <w:p>
      <w:pPr>
        <w:pStyle w:val="ListParagraph"/>
        <w:numPr>
          <w:ilvl w:val="0"/>
          <w:numId w:val="2"/>
        </w:numPr>
        <w:spacing w:after="60" w:before="40"/>
      </w:pPr>
      <w:r>
        <w:rPr>
          <w:rFonts w:ascii="Georgia" w:cs="Georgia" w:eastAsia="Georgia" w:hAnsi="Georgia"/>
          <w:sz w:val="22"/>
          <w:szCs w:val="22"/>
        </w:rPr>
        <w:t xml:space="preserve">❌ Write the SCF equation explicitly as a PDE on the space of SU(2) connections over M × ℂP¹</w:t>
      </w:r>
    </w:p>
    <w:p>
      <w:pPr>
        <w:pStyle w:val="ListParagraph"/>
        <w:numPr>
          <w:ilvl w:val="0"/>
          <w:numId w:val="2"/>
        </w:numPr>
        <w:spacing w:after="60" w:before="40"/>
      </w:pPr>
      <w:r>
        <w:rPr>
          <w:rFonts w:ascii="Georgia" w:cs="Georgia" w:eastAsia="Georgia" w:hAnsi="Georgia"/>
          <w:sz w:val="22"/>
          <w:szCs w:val="22"/>
        </w:rPr>
        <w:t xml:space="preserve">❌ Show the back-reaction functional is SU(2)-equivariant (or find a counterexample)</w:t>
      </w:r>
    </w:p>
    <w:p>
      <w:pPr>
        <w:pStyle w:val="ListParagraph"/>
        <w:numPr>
          <w:ilvl w:val="0"/>
          <w:numId w:val="2"/>
        </w:numPr>
        <w:spacing w:after="60" w:before="40"/>
      </w:pPr>
      <w:r>
        <w:rPr>
          <w:rFonts w:ascii="Georgia" w:cs="Georgia" w:eastAsia="Georgia" w:hAnsi="Georgia"/>
          <w:sz w:val="22"/>
          <w:szCs w:val="22"/>
        </w:rPr>
        <w:t xml:space="preserve">❌ Extend from the qubit case (ℂP¹) to the n-level case (ℂP^{n-1}) and verify Gleason closes the argument</w:t>
      </w:r>
    </w:p>
    <w:p>
      <w:pPr>
        <w:spacing w:after="60" w:before="60"/>
      </w:pPr>
      <w:r>
        <w:t xml:space="preserve"/>
      </w:r>
    </w:p>
    <w:p>
      <w:pPr>
        <w:pStyle w:val="Heading2"/>
        <w:spacing w:after="120" w:before="280"/>
      </w:pPr>
      <w:r>
        <w:rPr>
          <w:rFonts w:ascii="Arial" w:cs="Arial" w:eastAsia="Arial" w:hAnsi="Arial"/>
          <w:b/>
          <w:bCs/>
          <w:sz w:val="26"/>
          <w:szCs w:val="26"/>
        </w:rPr>
        <w:t xml:space="preserve">7.4 Milestone criterion</w:t>
      </w:r>
    </w:p>
    <w:p>
      <w:pPr>
        <w:spacing w:after="160" w:before="80"/>
      </w:pPr>
      <w:r>
        <w:rPr>
          <w:rFonts w:ascii="Georgia" w:cs="Georgia" w:eastAsia="Georgia" w:hAnsi="Georgia"/>
          <w:b/>
          <w:bCs/>
          <w:sz w:val="22"/>
          <w:szCs w:val="22"/>
        </w:rPr>
        <w:t xml:space="preserve">The derivation is complete when:</w:t>
      </w:r>
    </w:p>
    <w:p>
      <w:pPr>
        <w:pStyle w:val="ListParagraph"/>
        <w:numPr>
          <w:ilvl w:val="0"/>
          <w:numId w:val="3"/>
        </w:numPr>
        <w:spacing w:after="60" w:before="40"/>
      </w:pPr>
      <w:r>
        <w:rPr>
          <w:rFonts w:ascii="Georgia" w:cs="Georgia" w:eastAsia="Georgia" w:hAnsi="Georgia"/>
          <w:sz w:val="22"/>
          <w:szCs w:val="22"/>
        </w:rPr>
        <w:t xml:space="preserve">The SCF fixed-point equation on M × ℂP¹ is written in explicit form.</w:t>
      </w:r>
    </w:p>
    <w:p>
      <w:pPr>
        <w:pStyle w:val="ListParagraph"/>
        <w:numPr>
          <w:ilvl w:val="0"/>
          <w:numId w:val="3"/>
        </w:numPr>
        <w:spacing w:after="60" w:before="40"/>
      </w:pPr>
      <w:r>
        <w:rPr>
          <w:rFonts w:ascii="Georgia" w:cs="Georgia" w:eastAsia="Georgia" w:hAnsi="Georgia"/>
          <w:sz w:val="22"/>
          <w:szCs w:val="22"/>
        </w:rPr>
        <w:t xml:space="preserve">SU(2) equivariance of the SCF equation is proved.</w:t>
      </w:r>
    </w:p>
    <w:p>
      <w:pPr>
        <w:pStyle w:val="ListParagraph"/>
        <w:numPr>
          <w:ilvl w:val="0"/>
          <w:numId w:val="3"/>
        </w:numPr>
        <w:spacing w:after="60" w:before="40"/>
      </w:pPr>
      <w:r>
        <w:rPr>
          <w:rFonts w:ascii="Georgia" w:cs="Georgia" w:eastAsia="Georgia" w:hAnsi="Georgia"/>
          <w:sz w:val="22"/>
          <w:szCs w:val="22"/>
        </w:rPr>
        <w:t xml:space="preserve">The basin weight function W is shown to be frame noncontextual as a consequence.</w:t>
      </w:r>
    </w:p>
    <w:p>
      <w:pPr>
        <w:pStyle w:val="ListParagraph"/>
        <w:numPr>
          <w:ilvl w:val="0"/>
          <w:numId w:val="3"/>
        </w:numPr>
        <w:spacing w:after="60" w:before="40"/>
      </w:pPr>
      <w:r>
        <w:rPr>
          <w:rFonts w:ascii="Georgia" w:cs="Georgia" w:eastAsia="Georgia" w:hAnsi="Georgia"/>
          <w:sz w:val="22"/>
          <w:szCs w:val="22"/>
        </w:rPr>
        <w:t xml:space="preserve">Section 4.2 is invoked to conclude W(φ|ψ) = |⟨ψ|φ⟩|².</w:t>
      </w:r>
    </w:p>
    <w:p>
      <w:pPr>
        <w:spacing w:after="60" w:before="60"/>
      </w:pPr>
      <w:r>
        <w:t xml:space="preserve"/>
      </w:r>
    </w:p>
    <w:p>
      <w:pPr>
        <w:pBdr>
          <w:top w:val="single" w:color="2E75B6" w:sz="4" w:space="4"/>
          <w:bottom w:val="single" w:color="2E75B6" w:sz="4" w:space="4"/>
        </w:pBdr>
        <w:shd w:fill="EDF3FB" w:val="clear"/>
        <w:spacing w:after="120" w:before="100"/>
        <w:ind w:left="360"/>
      </w:pPr>
      <w:r>
        <w:rPr>
          <w:rFonts w:ascii="Arial" w:cs="Arial" w:eastAsia="Arial" w:hAnsi="Arial"/>
          <w:i/>
          <w:iCs/>
          <w:color w:val="1F3864"/>
          <w:sz w:val="20"/>
          <w:szCs w:val="20"/>
        </w:rPr>
        <w:t xml:space="preserve">Realistic status: The geometric structure is real and the proof strategy is sound. Steps 1, 3, 4 of the milestone criterion are in place. Step 2 (SU(2) equivariance of the SCF equation) is the open mathematical problem and the central novel contribution of CR. Estimated effort: several working sessions of serious mathematical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Coherence Relativity Collaboration — WORKING DRAFT — NOT FOR CIRCULATION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rFonts w:ascii="Arial" w:cs="Arial" w:eastAsia="Arial" w:hAnsi="Arial"/>
        <w:color w:val="555555"/>
        <w:sz w:val="18"/>
        <w:szCs w:val="18"/>
      </w:rPr>
      <w:t xml:space="preserve">CR Paper 2 — Born Rule Working Draft — April 19,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2026-04-19T11:08:34.488Z</dcterms:created>
  <dcterms:modified xsi:type="dcterms:W3CDTF">2026-04-19T11:08:34.489Z</dcterms:modified>
</cp:coreProperties>
</file>

<file path=docProps/custom.xml><?xml version="1.0" encoding="utf-8"?>
<Properties xmlns="http://schemas.openxmlformats.org/officeDocument/2006/custom-properties" xmlns:vt="http://schemas.openxmlformats.org/officeDocument/2006/docPropsVTypes"/>
</file>