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Coherence Relativity — Paper 2</w:t>
      </w:r>
    </w:p>
    <w:p>
      <w:pPr>
        <w:spacing w:after="80" w:before="0"/>
        <w:jc w:val="center"/>
      </w:pPr>
      <w:r>
        <w:rPr>
          <w:rFonts w:ascii="Arial" w:cs="Arial" w:eastAsia="Arial" w:hAnsi="Arial"/>
          <w:b w:val="false"/>
          <w:bCs w:val="false"/>
          <w:color w:val="2E75B6"/>
          <w:sz w:val="32"/>
          <w:szCs w:val="32"/>
        </w:rPr>
        <w:t xml:space="preserve">Related Work Skeleton</w:t>
      </w:r>
    </w:p>
    <w:p>
      <w:pPr>
        <w:spacing w:after="60" w:before="0"/>
        <w:jc w:val="center"/>
      </w:pPr>
      <w:r>
        <w:rPr>
          <w:rFonts w:ascii="Arial" w:cs="Arial" w:eastAsia="Arial" w:hAnsi="Arial"/>
          <w:i/>
          <w:iCs/>
          <w:color w:val="555555"/>
          <w:sz w:val="26"/>
          <w:szCs w:val="26"/>
        </w:rPr>
        <w:t xml:space="preserve">Keyed to the TₘΣ Constraint List</w:t>
      </w:r>
    </w:p>
    <w:p>
      <w:pPr>
        <w:spacing w:after="480" w:before="0"/>
        <w:jc w:val="center"/>
      </w:pPr>
      <w:r>
        <w:rPr>
          <w:rFonts w:ascii="Arial" w:cs="Arial" w:eastAsia="Arial" w:hAnsi="Arial"/>
          <w:color w:val="888888"/>
          <w:sz w:val="20"/>
          <w:szCs w:val="20"/>
        </w:rPr>
        <w:t xml:space="preserve">B. Kaufman / CR Collaboration — April 19, 2026</w:t>
      </w:r>
    </w:p>
    <w:p>
      <w:pPr>
        <w:pBdr>
          <w:bottom w:val="single" w:color="2E75B6" w:sz="4" w:space="1"/>
        </w:pBdr>
        <w:spacing w:after="120" w:before="120"/>
      </w:pPr>
      <w:r>
        <w:t xml:space="preserve"/>
      </w:r>
    </w:p>
    <w:p>
      <w:pPr>
        <w:pStyle w:val="Heading2"/>
        <w:spacing w:after="120" w:before="280"/>
      </w:pPr>
      <w:r>
        <w:rPr>
          <w:rFonts w:ascii="Arial" w:cs="Arial" w:eastAsia="Arial" w:hAnsi="Arial"/>
          <w:b/>
          <w:bCs/>
          <w:sz w:val="26"/>
          <w:szCs w:val="26"/>
        </w:rPr>
        <w:t xml:space="preserve">Citation Status Key</w:t>
      </w:r>
    </w:p>
    <w:p>
      <w:pPr>
        <w:spacing w:after="160" w:before="80"/>
      </w:pPr>
      <w:r>
        <w:rPr>
          <w:rFonts w:ascii="Georgia" w:cs="Georgia" w:eastAsia="Georgia" w:hAnsi="Georgia"/>
          <w:b/>
          <w:bCs/>
          <w:sz w:val="22"/>
          <w:szCs w:val="22"/>
        </w:rPr>
        <w:t xml:space="preserve">✅ </w:t>
      </w:r>
      <w:r>
        <w:rPr>
          <w:rFonts w:ascii="Georgia" w:cs="Georgia" w:eastAsia="Georgia" w:hAnsi="Georgia"/>
          <w:b/>
          <w:bCs/>
          <w:sz w:val="22"/>
          <w:szCs w:val="22"/>
        </w:rPr>
        <w:t xml:space="preserve">VERIFIED: </w:t>
      </w:r>
      <w:r>
        <w:rPr>
          <w:rFonts w:ascii="Georgia" w:cs="Georgia" w:eastAsia="Georgia" w:hAnsi="Georgia"/>
          <w:sz w:val="22"/>
          <w:szCs w:val="22"/>
        </w:rPr>
        <w:t xml:space="preserve">Confirmed real; known to Claude directly or confirmed by Perplexity with abstract match</w:t>
      </w:r>
    </w:p>
    <w:p>
      <w:pPr>
        <w:spacing w:after="160" w:before="80"/>
      </w:pPr>
      <w:r>
        <w:rPr>
          <w:rFonts w:ascii="Georgia" w:cs="Georgia" w:eastAsia="Georgia" w:hAnsi="Georgia"/>
          <w:b/>
          <w:bCs/>
          <w:sz w:val="22"/>
          <w:szCs w:val="22"/>
        </w:rPr>
        <w:t xml:space="preserve">⚠️ </w:t>
      </w:r>
      <w:r>
        <w:rPr>
          <w:rFonts w:ascii="Georgia" w:cs="Georgia" w:eastAsia="Georgia" w:hAnsi="Georgia"/>
          <w:b/>
          <w:bCs/>
          <w:sz w:val="22"/>
          <w:szCs w:val="22"/>
        </w:rPr>
        <w:t xml:space="preserve">UNVERIFIED: </w:t>
      </w:r>
      <w:r>
        <w:rPr>
          <w:rFonts w:ascii="Georgia" w:cs="Georgia" w:eastAsia="Georgia" w:hAnsi="Georgia"/>
          <w:sz w:val="22"/>
          <w:szCs w:val="22"/>
        </w:rPr>
        <w:t xml:space="preserve">Structurally plausible; must confirm DOI / arXiv page before citing in paper</w:t>
      </w:r>
    </w:p>
    <w:p>
      <w:pPr>
        <w:spacing w:after="160" w:before="80"/>
      </w:pPr>
      <w:r>
        <w:rPr>
          <w:rFonts w:ascii="Georgia" w:cs="Georgia" w:eastAsia="Georgia" w:hAnsi="Georgia"/>
          <w:b/>
          <w:bCs/>
          <w:sz w:val="22"/>
          <w:szCs w:val="22"/>
        </w:rPr>
        <w:t xml:space="preserve">❌ </w:t>
      </w:r>
      <w:r>
        <w:rPr>
          <w:rFonts w:ascii="Georgia" w:cs="Georgia" w:eastAsia="Georgia" w:hAnsi="Georgia"/>
          <w:b/>
          <w:bCs/>
          <w:sz w:val="22"/>
          <w:szCs w:val="22"/>
        </w:rPr>
        <w:t xml:space="preserve">LITERATURE GAP: </w:t>
      </w:r>
      <w:r>
        <w:rPr>
          <w:rFonts w:ascii="Georgia" w:cs="Georgia" w:eastAsia="Georgia" w:hAnsi="Georgia"/>
          <w:sz w:val="22"/>
          <w:szCs w:val="22"/>
        </w:rPr>
        <w:t xml:space="preserve">No peer-reviewed prior art; CR claim is novel; must be derived or argued internally</w:t>
      </w:r>
    </w:p>
    <w:p>
      <w:pPr>
        <w:spacing w:after="160" w:before="80"/>
      </w:pPr>
      <w:r>
        <w:rPr>
          <w:rFonts w:ascii="Georgia" w:cs="Georgia" w:eastAsia="Georgia" w:hAnsi="Georgia"/>
          <w:b/>
          <w:bCs/>
          <w:sz w:val="22"/>
          <w:szCs w:val="22"/>
        </w:rPr>
        <w:t xml:space="preserve">📋 </w:t>
      </w:r>
      <w:r>
        <w:rPr>
          <w:rFonts w:ascii="Georgia" w:cs="Georgia" w:eastAsia="Georgia" w:hAnsi="Georgia"/>
          <w:b/>
          <w:bCs/>
          <w:sz w:val="22"/>
          <w:szCs w:val="22"/>
        </w:rPr>
        <w:t xml:space="preserve">NOTE: </w:t>
      </w:r>
      <w:r>
        <w:rPr>
          <w:rFonts w:ascii="Georgia" w:cs="Georgia" w:eastAsia="Georgia" w:hAnsi="Georgia"/>
          <w:sz w:val="22"/>
          <w:szCs w:val="22"/>
        </w:rPr>
        <w:t xml:space="preserve">Background context; do not cite as direct support for constraint</w:t>
      </w:r>
    </w:p>
    <w:p>
      <w:pPr>
        <w:spacing w:after="60" w:before="60"/>
      </w:pPr>
      <w:r>
        <w:t xml:space="preserve"/>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1 — Self-consistency / Fixed-point</w:t>
      </w:r>
    </w:p>
    <w:p>
      <w:pPr>
        <w:spacing w:after="160" w:before="80"/>
      </w:pPr>
      <w:r>
        <w:rPr>
          <w:rFonts w:ascii="Georgia" w:cs="Georgia" w:eastAsia="Georgia" w:hAnsi="Georgia"/>
          <w:i/>
          <w:iCs/>
          <w:color w:val="555555"/>
          <w:sz w:val="22"/>
          <w:szCs w:val="22"/>
        </w:rPr>
        <w:t xml:space="preserve">TₘΣ generates M and Σ; those outputs must in turn be compatible with the TₘΣ that generated them. Neither geometry nor coherence is ontologically prior; both arise from the self-consistent fixed-point object.</w:t>
      </w:r>
    </w:p>
    <w:p>
      <w:pPr>
        <w:spacing w:after="60" w:before="60"/>
      </w:pPr>
      <w:r>
        <w:t xml:space="preserve"/>
      </w:r>
    </w:p>
    <w:p>
      <w:pPr>
        <w:pStyle w:val="Heading3"/>
        <w:spacing w:after="80" w:before="200"/>
      </w:pPr>
      <w:r>
        <w:rPr>
          <w:rFonts w:ascii="Arial" w:cs="Arial" w:eastAsia="Arial" w:hAnsi="Arial"/>
          <w:b/>
          <w:bCs/>
          <w:i/>
          <w:iCs/>
          <w:sz w:val="24"/>
          <w:szCs w:val="24"/>
        </w:rPr>
        <w:t xml:space="preserve">Self-consistent semiclassical gravity (survey)</w:t>
      </w:r>
    </w:p>
    <w:p>
      <w:pPr>
        <w:spacing w:after="160" w:before="80"/>
      </w:pPr>
      <w:r>
        <w:rPr>
          <w:rFonts w:ascii="Georgia" w:cs="Georgia" w:eastAsia="Georgia" w:hAnsi="Georgia"/>
          <w:sz w:val="22"/>
          <w:szCs w:val="22"/>
        </w:rPr>
        <w:t xml:space="preserve">In </w:t>
      </w:r>
      <w:r>
        <w:rPr>
          <w:rFonts w:ascii="Georgia" w:cs="Georgia" w:eastAsia="Georgia" w:hAnsi="Georgia"/>
          <w:b/>
          <w:bCs/>
          <w:sz w:val="22"/>
          <w:szCs w:val="22"/>
        </w:rPr>
        <w:t xml:space="preserve">standard semiclassical gravity (SG)</w:t>
      </w:r>
      <w:r>
        <w:rPr>
          <w:rFonts w:ascii="Georgia" w:cs="Georgia" w:eastAsia="Georgia" w:hAnsi="Georgia"/>
          <w:sz w:val="22"/>
          <w:szCs w:val="22"/>
        </w:rPr>
        <w:t xml:space="preserve">, quantum fields curve a classical spacetime via the expectation value of their stress–energy tensor, while propagating in the very spacetime they generate. Recent work (</w:t>
      </w:r>
      <w:r>
        <w:rPr>
          <w:rFonts w:ascii="Georgia" w:cs="Georgia" w:eastAsia="Georgia" w:hAnsi="Georgia"/>
          <w:b/>
          <w:bCs/>
          <w:sz w:val="22"/>
          <w:szCs w:val="22"/>
        </w:rPr>
        <w:t xml:space="preserve">Juárez-Aubry, arXiv:2509.02051, 2025</w:t>
      </w:r>
      <w:r>
        <w:rPr>
          <w:rFonts w:ascii="Georgia" w:cs="Georgia" w:eastAsia="Georgia" w:hAnsi="Georgia"/>
          <w:sz w:val="22"/>
          <w:szCs w:val="22"/>
        </w:rPr>
        <w:t xml:space="preserve">) has clarified the structural properties, initial-value formulation, and black-hole applications of SG, including existence and uniqueness results and the argument that information loss is not expected when SG is treated carefully. Extensions to stochastic gravity (Einstein–Langevin equations) and collapse-modified SG are also surveyed. This reference establishes what the standard framework provides and where its limits lie.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Fully self-consistent semiclassical gravity with collapse</w:t>
      </w:r>
    </w:p>
    <w:p>
      <w:pPr>
        <w:spacing w:after="160" w:before="80"/>
      </w:pPr>
      <w:r>
        <w:rPr>
          <w:rFonts w:ascii="Georgia" w:cs="Georgia" w:eastAsia="Georgia" w:hAnsi="Georgia"/>
          <w:sz w:val="22"/>
          <w:szCs w:val="22"/>
        </w:rPr>
        <w:t xml:space="preserve">A specific self-consistent coupled framework has been proposed under the name </w:t>
      </w:r>
      <w:r>
        <w:rPr>
          <w:rFonts w:ascii="Georgia" w:cs="Georgia" w:eastAsia="Georgia" w:hAnsi="Georgia"/>
          <w:b/>
          <w:bCs/>
          <w:sz w:val="22"/>
          <w:szCs w:val="22"/>
        </w:rPr>
        <w:t xml:space="preserve">Semiclassical Collapse Universes (SCU)</w:t>
      </w:r>
      <w:r>
        <w:rPr>
          <w:rFonts w:ascii="Georgia" w:cs="Georgia" w:eastAsia="Georgia" w:hAnsi="Georgia"/>
          <w:sz w:val="22"/>
          <w:szCs w:val="22"/>
        </w:rPr>
        <w:t xml:space="preserve"> (</w:t>
      </w:r>
      <w:r>
        <w:rPr>
          <w:rFonts w:ascii="Georgia" w:cs="Georgia" w:eastAsia="Georgia" w:hAnsi="Georgia"/>
          <w:b/>
          <w:bCs/>
          <w:sz w:val="22"/>
          <w:szCs w:val="22"/>
        </w:rPr>
        <w:t xml:space="preserve">Lahlou, Liu, Martineau, arXiv:2506.17149, 2025</w:t>
      </w:r>
      <w:r>
        <w:rPr>
          <w:rFonts w:ascii="Georgia" w:cs="Georgia" w:eastAsia="Georgia" w:hAnsi="Georgia"/>
          <w:sz w:val="22"/>
          <w:szCs w:val="22"/>
        </w:rPr>
        <w:t xml:space="preserve">), in which the Einstein tensor Gμν is sourced by the expectation value of a collapse-driven quantum stress–energy tensor, and the collapse dynamics itself is defined on the resulting curved spacetime. The system is fully closed and mutually determining. This is the closest existing SCF analogue to the requirement that TₘΣ satisfy a self-consistent fixed-point condition coupling geometry and coherence.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Fixed-point tensor networks (discrete analogue)</w:t>
      </w:r>
    </w:p>
    <w:p>
      <w:pPr>
        <w:spacing w:after="160" w:before="80"/>
      </w:pPr>
      <w:r>
        <w:rPr>
          <w:rFonts w:ascii="Georgia" w:cs="Georgia" w:eastAsia="Georgia" w:hAnsi="Georgia"/>
          <w:sz w:val="22"/>
          <w:szCs w:val="22"/>
        </w:rPr>
        <w:t xml:space="preserve">In the theory of fixed-point tensor network states (</w:t>
      </w:r>
      <w:r>
        <w:rPr>
          <w:rFonts w:ascii="Georgia" w:cs="Georgia" w:eastAsia="Georgia" w:hAnsi="Georgia"/>
          <w:b/>
          <w:bCs/>
          <w:sz w:val="22"/>
          <w:szCs w:val="22"/>
        </w:rPr>
        <w:t xml:space="preserve">Chen, Gu, Wen, PRB 96, 035101, 2017</w:t>
      </w:r>
      <w:r>
        <w:rPr>
          <w:rFonts w:ascii="Georgia" w:cs="Georgia" w:eastAsia="Georgia" w:hAnsi="Georgia"/>
          <w:sz w:val="22"/>
          <w:szCs w:val="22"/>
        </w:rPr>
        <w:t xml:space="preserve">), a single algebraic object simultaneously encodes bulk topological order (a TQFT in 2+1D) and boundary tensor network states. The same algebraic data defines both sides. This provides a concrete discrete precedent for the pattern of a single fixed-point object whose projections produce the two sides of the duality. The analogy requires care: their "bulk" is a topological phase, not a spacetime manifold.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Gap note</w:t>
      </w:r>
    </w:p>
    <w:p>
      <w:pPr>
        <w:spacing w:after="160" w:before="80"/>
      </w:pPr>
      <w:r>
        <w:rPr>
          <w:rFonts w:ascii="Georgia" w:cs="Georgia" w:eastAsia="Georgia" w:hAnsi="Georgia"/>
          <w:sz w:val="22"/>
          <w:szCs w:val="22"/>
        </w:rPr>
        <w:t xml:space="preserve">None of these works introduce an intermediate object TₘΣ that co-determines both sides </w:t>
      </w:r>
      <w:r>
        <w:rPr>
          <w:rFonts w:ascii="Georgia" w:cs="Georgia" w:eastAsia="Georgia" w:hAnsi="Georgia"/>
          <w:b/>
          <w:bCs/>
          <w:sz w:val="22"/>
          <w:szCs w:val="22"/>
        </w:rPr>
        <w:t xml:space="preserve">symmetrically</w:t>
      </w:r>
      <w:r>
        <w:rPr>
          <w:rFonts w:ascii="Georgia" w:cs="Georgia" w:eastAsia="Georgia" w:hAnsi="Georgia"/>
          <w:sz w:val="22"/>
          <w:szCs w:val="22"/>
        </w:rPr>
        <w:t xml:space="preserve">. The FSCG fixed-point is between metric and quantum state; ours is the mediator itself. The SCU framework has two objects and a coupling equation; CR has three objects and a fixed-point condition on the middle one. This distinction must be stated explicitly when citing these works.</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2 — Bidirectionality / Perspective-dependent Asymmetry</w:t>
      </w:r>
    </w:p>
    <w:p>
      <w:pPr>
        <w:spacing w:after="160" w:before="80"/>
      </w:pPr>
      <w:r>
        <w:rPr>
          <w:rFonts w:ascii="Georgia" w:cs="Georgia" w:eastAsia="Georgia" w:hAnsi="Georgia"/>
          <w:i/>
          <w:iCs/>
          <w:color w:val="555555"/>
          <w:sz w:val="22"/>
          <w:szCs w:val="22"/>
        </w:rPr>
        <w:t xml:space="preserve">M→Σ and Σ→M influence both exist. Apparent asymmetry is an artifact of where perturbation originates (Le Châtelier framing), not a fundamental property of TₘΣ.</w:t>
      </w:r>
    </w:p>
    <w:p>
      <w:pPr>
        <w:spacing w:after="60" w:before="60"/>
      </w:pPr>
      <w:r>
        <w:t xml:space="preserve"/>
      </w:r>
    </w:p>
    <w:p>
      <w:pPr>
        <w:spacing w:after="160" w:before="80"/>
      </w:pPr>
      <w:r>
        <w:rPr>
          <w:rFonts w:ascii="Georgia" w:cs="Georgia" w:eastAsia="Georgia" w:hAnsi="Georgia"/>
          <w:b/>
          <w:bCs/>
          <w:color w:val="B00000"/>
          <w:sz w:val="20"/>
          <w:szCs w:val="20"/>
        </w:rPr>
        <w:t xml:space="preserve"> ❌ LITERATURE GAP </w:t>
      </w:r>
      <w:r>
        <w:rPr>
          <w:rFonts w:ascii="Georgia" w:cs="Georgia" w:eastAsia="Georgia" w:hAnsi="Georgia"/>
          <w:sz w:val="22"/>
          <w:szCs w:val="22"/>
        </w:rPr>
        <w:t xml:space="preserve"> No peer-reviewed source currently in hand makes this specific claim for a geometry–coherence mediator. The Le Châtelier equilibrium-response framing is standard thermodynamics and does not require a formal citation. The bidirectionality constraint is a genuinely novel CR claim and should be stated as such in the paper, with the thermodynamic analogy offered as intuition rather than as support.</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3 — Depth = Band (Admissibility Band = Interior of TₘΣ)</w:t>
      </w:r>
    </w:p>
    <w:p>
      <w:pPr>
        <w:spacing w:after="160" w:before="80"/>
      </w:pPr>
      <w:r>
        <w:rPr>
          <w:rFonts w:ascii="Georgia" w:cs="Georgia" w:eastAsia="Georgia" w:hAnsi="Georgia"/>
          <w:i/>
          <w:iCs/>
          <w:color w:val="555555"/>
          <w:sz w:val="22"/>
          <w:szCs w:val="22"/>
        </w:rPr>
        <w:t xml:space="preserve">The admissibility band is not a separate condition imposed on TₘΣ. It is the interior of TₘΣ. Existence of TₘΣ is the admissibility condition.</w:t>
      </w:r>
    </w:p>
    <w:p>
      <w:pPr>
        <w:spacing w:after="60" w:before="60"/>
      </w:pPr>
      <w:r>
        <w:t xml:space="preserve"/>
      </w:r>
    </w:p>
    <w:p>
      <w:pPr>
        <w:pStyle w:val="Heading3"/>
        <w:spacing w:after="80" w:before="200"/>
      </w:pPr>
      <w:r>
        <w:rPr>
          <w:rFonts w:ascii="Arial" w:cs="Arial" w:eastAsia="Arial" w:hAnsi="Arial"/>
          <w:b/>
          <w:bCs/>
          <w:i/>
          <w:iCs/>
          <w:sz w:val="24"/>
          <w:szCs w:val="24"/>
        </w:rPr>
        <w:t xml:space="preserve">Holographic consistency conditions (partial parallel)</w:t>
      </w:r>
    </w:p>
    <w:p>
      <w:pPr>
        <w:spacing w:after="160" w:before="80"/>
      </w:pPr>
      <w:r>
        <w:rPr>
          <w:rFonts w:ascii="Georgia" w:cs="Georgia" w:eastAsia="Georgia" w:hAnsi="Georgia"/>
          <w:sz w:val="22"/>
          <w:szCs w:val="22"/>
        </w:rPr>
        <w:t xml:space="preserve">McInnes &amp; Ong, "When Is Holography Consistent?" (</w:t>
      </w:r>
      <w:r>
        <w:rPr>
          <w:rFonts w:ascii="Georgia" w:cs="Georgia" w:eastAsia="Georgia" w:hAnsi="Georgia"/>
          <w:b/>
          <w:bCs/>
          <w:sz w:val="22"/>
          <w:szCs w:val="22"/>
        </w:rPr>
        <w:t xml:space="preserve">Nucl. Phys. B 898, 197–220, 2015; arXiv:1504.07344</w:t>
      </w:r>
      <w:r>
        <w:rPr>
          <w:rFonts w:ascii="Georgia" w:cs="Georgia" w:eastAsia="Georgia" w:hAnsi="Georgia"/>
          <w:sz w:val="22"/>
          <w:szCs w:val="22"/>
        </w:rPr>
        <w:t xml:space="preserve">) study constraints on holographic duals by demanding that bulk geometries admit consistent AdS/CFT interpretations. They use energy conditions, entropy bounds, and stability conditions to rule out certain bulk geometries as inconsistent with any unitary boundary CFT, producing a joint admissibility subset of (bulk, boundary) configuration pairs. This is a genuine structural analogue of the T-band admissibility condition for (M, Σ): the admissible set is determined by a joint consistency requirement rather than a one-sided equation.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Gap note — what the holographic result does NOT provide</w:t>
      </w:r>
    </w:p>
    <w:p>
      <w:pPr>
        <w:spacing w:after="160" w:before="80"/>
      </w:pPr>
      <w:r>
        <w:rPr>
          <w:rFonts w:ascii="Georgia" w:cs="Georgia" w:eastAsia="Georgia" w:hAnsi="Georgia"/>
          <w:sz w:val="22"/>
          <w:szCs w:val="22"/>
        </w:rPr>
        <w:t xml:space="preserve">McInnes &amp; Ong identify an admissible subset, but they do not identify that subset with the interior of a mediating field object. The move "the admissibility band is the interior of T, not an external condition" is CR-specific and novel. This must be clearly flagged as such in the paper.</w:t>
      </w:r>
    </w:p>
    <w:p>
      <w:pPr>
        <w:pStyle w:val="Heading3"/>
        <w:spacing w:after="80" w:before="200"/>
      </w:pPr>
      <w:r>
        <w:rPr>
          <w:rFonts w:ascii="Arial" w:cs="Arial" w:eastAsia="Arial" w:hAnsi="Arial"/>
          <w:b/>
          <w:bCs/>
          <w:i/>
          <w:iCs/>
          <w:sz w:val="24"/>
          <w:szCs w:val="24"/>
        </w:rPr>
        <w:t xml:space="preserve">Gap note</w:t>
      </w:r>
    </w:p>
    <w:p>
      <w:pPr>
        <w:spacing w:after="160" w:before="80"/>
      </w:pPr>
      <w:r>
        <w:rPr>
          <w:rFonts w:ascii="Georgia" w:cs="Georgia" w:eastAsia="Georgia" w:hAnsi="Georgia"/>
          <w:sz w:val="22"/>
          <w:szCs w:val="22"/>
        </w:rPr>
        <w:t xml:space="preserve">The identification of the band with the interior of the mediating object (rather than as an external condition) appears to be novel. Most frameworks treat admissibility as a constraint on solutions, not as constitutive of the mediating object itself. This should be framed as a CR-specific conceptual contribution.</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4 — Threshold Bifurcation</w:t>
      </w:r>
    </w:p>
    <w:p>
      <w:pPr>
        <w:spacing w:after="160" w:before="80"/>
      </w:pPr>
      <w:r>
        <w:rPr>
          <w:rFonts w:ascii="Georgia" w:cs="Georgia" w:eastAsia="Georgia" w:hAnsi="Georgia"/>
          <w:i/>
          <w:iCs/>
          <w:color w:val="555555"/>
          <w:sz w:val="22"/>
          <w:szCs w:val="22"/>
        </w:rPr>
        <w:t xml:space="preserve">Completion of the coherence→pointer transition requires crossing a bifurcation point. Behavior is regime-change, not smooth exponential decay.</w:t>
      </w:r>
    </w:p>
    <w:p>
      <w:pPr>
        <w:spacing w:after="60" w:before="60"/>
      </w:pPr>
      <w:r>
        <w:t xml:space="preserve"/>
      </w:r>
    </w:p>
    <w:p>
      <w:pPr>
        <w:pStyle w:val="Heading3"/>
        <w:spacing w:after="80" w:before="200"/>
      </w:pPr>
      <w:r>
        <w:rPr>
          <w:rFonts w:ascii="Arial" w:cs="Arial" w:eastAsia="Arial" w:hAnsi="Arial"/>
          <w:b/>
          <w:bCs/>
          <w:i/>
          <w:iCs/>
          <w:sz w:val="24"/>
          <w:szCs w:val="24"/>
        </w:rPr>
        <w:t xml:space="preserve">Experimental: regime-change in coherence time</w:t>
      </w:r>
    </w:p>
    <w:p>
      <w:pPr>
        <w:spacing w:after="160" w:before="80"/>
      </w:pPr>
      <w:r>
        <w:rPr>
          <w:rFonts w:ascii="Georgia" w:cs="Georgia" w:eastAsia="Georgia" w:hAnsi="Georgia"/>
          <w:sz w:val="22"/>
          <w:szCs w:val="22"/>
        </w:rPr>
        <w:t xml:space="preserve">"Quantum dot spin coherence governed by a strained nuclear environment" (</w:t>
      </w:r>
      <w:r>
        <w:rPr>
          <w:rFonts w:ascii="Georgia" w:cs="Georgia" w:eastAsia="Georgia" w:hAnsi="Georgia"/>
          <w:b/>
          <w:bCs/>
          <w:sz w:val="22"/>
          <w:szCs w:val="22"/>
        </w:rPr>
        <w:t xml:space="preserve">Nat. Commun. 7, 12745, 2016</w:t>
      </w:r>
      <w:r>
        <w:rPr>
          <w:rFonts w:ascii="Georgia" w:cs="Georgia" w:eastAsia="Georgia" w:hAnsi="Georgia"/>
          <w:sz w:val="22"/>
          <w:szCs w:val="22"/>
        </w:rPr>
        <w:t xml:space="preserve">). Electron spin coherence time in self-assembled InGaAs quantum dots increases by over an order of magnitude when the applied magnetic field is raised from ~2 T to ~3 T. The authors attribute this sharp jump to a change in the dominant nuclear noise mechanism — from non-ergodic to quasi-static behavior — rather than to a smooth single-exponential decoherence channel. This is a direct experimental prototype for the "regime-change / bifurcation-like threshold" behavior in Constraint 4.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Mathematical background</w:t>
      </w:r>
    </w:p>
    <w:p>
      <w:pPr>
        <w:spacing w:after="160" w:before="80"/>
      </w:pPr>
      <w:r>
        <w:rPr>
          <w:rFonts w:ascii="Georgia" w:cs="Georgia" w:eastAsia="Georgia" w:hAnsi="Georgia"/>
          <w:sz w:val="22"/>
          <w:szCs w:val="22"/>
        </w:rPr>
        <w:t xml:space="preserve">Landau theory of symmetry-breaking phase transitions provides the standard mathematical template for bifurcation at a threshold. This is universally citable without a specific paper; no targeted citation is needed for the mathematical framework, only for its application to the coherence→pointer transition in CR.</w:t>
      </w:r>
      <w:r>
        <w:rPr>
          <w:rFonts w:ascii="Georgia" w:cs="Georgia" w:eastAsia="Georgia" w:hAnsi="Georgia"/>
          <w:b/>
          <w:bCs/>
          <w:color w:val="555555"/>
          <w:sz w:val="20"/>
          <w:szCs w:val="20"/>
        </w:rPr>
        <w:t xml:space="preserve"> 📋 NOTE </w:t>
      </w:r>
    </w:p>
    <w:p>
      <w:pPr>
        <w:pStyle w:val="Heading3"/>
        <w:spacing w:after="80" w:before="200"/>
      </w:pPr>
      <w:r>
        <w:rPr>
          <w:rFonts w:ascii="Arial" w:cs="Arial" w:eastAsia="Arial" w:hAnsi="Arial"/>
          <w:b/>
          <w:bCs/>
          <w:i/>
          <w:iCs/>
          <w:sz w:val="24"/>
          <w:szCs w:val="24"/>
        </w:rPr>
        <w:t xml:space="preserve">Gap note</w:t>
      </w:r>
    </w:p>
    <w:p>
      <w:pPr>
        <w:spacing w:after="160" w:before="80"/>
      </w:pPr>
      <w:r>
        <w:rPr>
          <w:rFonts w:ascii="Georgia" w:cs="Georgia" w:eastAsia="Georgia" w:hAnsi="Georgia"/>
          <w:sz w:val="22"/>
          <w:szCs w:val="22"/>
        </w:rPr>
        <w:t xml:space="preserve">The application of bifurcation structure specifically to the coherence→pointer transition within a TₘΣ geometry is novel to CR.</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5 — φ-component / Phase Conjugacy</w:t>
      </w:r>
    </w:p>
    <w:p>
      <w:pPr>
        <w:spacing w:after="160" w:before="80"/>
      </w:pPr>
      <w:r>
        <w:rPr>
          <w:rFonts w:ascii="Georgia" w:cs="Georgia" w:eastAsia="Georgia" w:hAnsi="Georgia"/>
          <w:i/>
          <w:iCs/>
          <w:color w:val="555555"/>
          <w:sz w:val="22"/>
          <w:szCs w:val="22"/>
        </w:rPr>
        <w:t xml:space="preserve">The φ-coordinate of Σ is conjugate to the transition direction θ. It stores φ-work during Type 1 decoherence and discharges it irreversibly into M during Type 2.</w:t>
      </w:r>
    </w:p>
    <w:p>
      <w:pPr>
        <w:spacing w:after="60" w:before="60"/>
      </w:pPr>
      <w:r>
        <w:t xml:space="preserve"/>
      </w:r>
    </w:p>
    <w:p>
      <w:pPr>
        <w:pStyle w:val="Heading3"/>
        <w:spacing w:after="80" w:before="200"/>
      </w:pPr>
      <w:r>
        <w:rPr>
          <w:rFonts w:ascii="Arial" w:cs="Arial" w:eastAsia="Arial" w:hAnsi="Arial"/>
          <w:b/>
          <w:bCs/>
          <w:i/>
          <w:iCs/>
          <w:sz w:val="24"/>
          <w:szCs w:val="24"/>
        </w:rPr>
        <w:t xml:space="preserve">Fidelity amplitude and echo dynamics (primary citation)</w:t>
      </w:r>
    </w:p>
    <w:p>
      <w:pPr>
        <w:spacing w:after="160" w:before="80"/>
      </w:pPr>
      <w:r>
        <w:rPr>
          <w:rFonts w:ascii="Georgia" w:cs="Georgia" w:eastAsia="Georgia" w:hAnsi="Georgia"/>
          <w:sz w:val="22"/>
          <w:szCs w:val="22"/>
        </w:rPr>
        <w:t xml:space="preserve">The fidelity amplitude f(t) = ⟨ψ|U†(t)U′(t)|ψ⟩ and its connection to echo dynamics and decoherence reversibility is established in </w:t>
      </w:r>
      <w:r>
        <w:rPr>
          <w:rFonts w:ascii="Georgia" w:cs="Georgia" w:eastAsia="Georgia" w:hAnsi="Georgia"/>
          <w:b/>
          <w:bCs/>
          <w:sz w:val="22"/>
          <w:szCs w:val="22"/>
        </w:rPr>
        <w:t xml:space="preserve">Gorin, Prosen, Seligman, Strunz (PRA 70, 042105, 2004)</w:t>
      </w:r>
      <w:r>
        <w:rPr>
          <w:rFonts w:ascii="Georgia" w:cs="Georgia" w:eastAsia="Georgia" w:hAnsi="Georgia"/>
          <w:sz w:val="22"/>
          <w:szCs w:val="22"/>
        </w:rPr>
        <w:t xml:space="preserve">. This is the primary citation for identifying f(t) as the observable corresponding to TₘΣ behavior during a transition, and for formalizing the distinction between the phase-preserving and phase-destroying regimes of decoherence.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Phase as independent decoherence observable</w:t>
      </w:r>
    </w:p>
    <w:p>
      <w:pPr>
        <w:spacing w:after="160" w:before="80"/>
      </w:pPr>
      <w:r>
        <w:rPr>
          <w:rFonts w:ascii="Georgia" w:cs="Georgia" w:eastAsia="Georgia" w:hAnsi="Georgia"/>
          <w:sz w:val="22"/>
          <w:szCs w:val="22"/>
        </w:rPr>
        <w:t xml:space="preserve">"Quantum Decoherence of Nitrogen-Vacancy Spin Ensembles in a Complex Environment" (</w:t>
      </w:r>
      <w:r>
        <w:rPr>
          <w:rFonts w:ascii="Georgia" w:cs="Georgia" w:eastAsia="Georgia" w:hAnsi="Georgia"/>
          <w:b/>
          <w:bCs/>
          <w:sz w:val="22"/>
          <w:szCs w:val="22"/>
        </w:rPr>
        <w:t xml:space="preserve">Adv. Optical Mater., 2026</w:t>
      </w:r>
      <w:r>
        <w:rPr>
          <w:rFonts w:ascii="Georgia" w:cs="Georgia" w:eastAsia="Georgia" w:hAnsi="Georgia"/>
          <w:sz w:val="22"/>
          <w:szCs w:val="22"/>
        </w:rPr>
        <w:t xml:space="preserve">). Studies decoherence of NV spin ensembles under realistic complex environments and shows that the </w:t>
      </w:r>
      <w:r>
        <w:rPr>
          <w:rFonts w:ascii="Georgia" w:cs="Georgia" w:eastAsia="Georgia" w:hAnsi="Georgia"/>
          <w:i/>
          <w:iCs/>
          <w:sz w:val="22"/>
          <w:szCs w:val="22"/>
        </w:rPr>
        <w:t xml:space="preserve">phase</w:t>
      </w:r>
      <w:r>
        <w:rPr>
          <w:rFonts w:ascii="Georgia" w:cs="Georgia" w:eastAsia="Georgia" w:hAnsi="Georgia"/>
          <w:sz w:val="22"/>
          <w:szCs w:val="22"/>
        </w:rPr>
        <w:t xml:space="preserve"> of the coherence function plays a significant and independent role in determining decoherence behavior, distinct from the magnitude alone. This supports using phase fidelity (not just amplitude decay) as a reversibility diagnostic for TₘΣ behavior. </w:t>
      </w:r>
      <w:r>
        <w:rPr>
          <w:rFonts w:ascii="Georgia" w:cs="Georgia" w:eastAsia="Georgia" w:hAnsi="Georgia"/>
          <w:b/>
          <w:bCs/>
          <w:color w:val="B87C00"/>
          <w:sz w:val="20"/>
          <w:szCs w:val="20"/>
        </w:rPr>
        <w:t xml:space="preserve"> ⚠️ PROBABLY REAL </w:t>
      </w:r>
      <w:r>
        <w:rPr>
          <w:rFonts w:ascii="Georgia" w:cs="Georgia" w:eastAsia="Georgia" w:hAnsi="Georgia"/>
          <w:sz w:val="22"/>
          <w:szCs w:val="22"/>
        </w:rPr>
        <w:t xml:space="preserve"> — publisher DOI confirmed by Perplexity; 2026 paper, verify details before final submission.</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6 — Type 1 vs. Type 2 Decoherence</w:t>
      </w:r>
    </w:p>
    <w:p>
      <w:pPr>
        <w:spacing w:after="160" w:before="80"/>
      </w:pPr>
      <w:r>
        <w:rPr>
          <w:rFonts w:ascii="Georgia" w:cs="Georgia" w:eastAsia="Georgia" w:hAnsi="Georgia"/>
          <w:i/>
          <w:iCs/>
          <w:color w:val="555555"/>
          <w:sz w:val="22"/>
          <w:szCs w:val="22"/>
        </w:rPr>
        <w:t xml:space="preserve">Type 1: reversible, φ-work recoverable by echo (T2*). Type 2: φ-work discharged into M, phase not restored (T2). Multiple independent experimental systems exhibit this distinction.</w:t>
      </w:r>
    </w:p>
    <w:p>
      <w:pPr>
        <w:spacing w:after="60" w:before="60"/>
      </w:pPr>
      <w:r>
        <w:t xml:space="preserve"/>
      </w:r>
    </w:p>
    <w:p>
      <w:pPr>
        <w:spacing w:after="160" w:before="80"/>
      </w:pPr>
      <w:r>
        <w:rPr>
          <w:rFonts w:ascii="Georgia" w:cs="Georgia" w:eastAsia="Georgia" w:hAnsi="Georgia"/>
          <w:sz w:val="22"/>
          <w:szCs w:val="22"/>
        </w:rPr>
        <w:t xml:space="preserve">This is the best-supported constraint in the literature. Four targeted citations:</w:t>
      </w:r>
    </w:p>
    <w:p>
      <w:pPr>
        <w:pStyle w:val="Heading3"/>
        <w:spacing w:after="80" w:before="200"/>
      </w:pPr>
      <w:r>
        <w:rPr>
          <w:rFonts w:ascii="Arial" w:cs="Arial" w:eastAsia="Arial" w:hAnsi="Arial"/>
          <w:b/>
          <w:bCs/>
          <w:i/>
          <w:iCs/>
          <w:sz w:val="24"/>
          <w:szCs w:val="24"/>
        </w:rPr>
        <w:t xml:space="preserve">1. Gorin, Prosen, Seligman, Strunz — echo dynamics and fidelity decay</w:t>
      </w:r>
    </w:p>
    <w:p>
      <w:pPr>
        <w:spacing w:after="160" w:before="80"/>
      </w:pPr>
      <w:r>
        <w:rPr>
          <w:rFonts w:ascii="Georgia" w:cs="Georgia" w:eastAsia="Georgia" w:hAnsi="Georgia"/>
          <w:sz w:val="22"/>
          <w:szCs w:val="22"/>
        </w:rPr>
        <w:t xml:space="preserve">(</w:t>
      </w:r>
      <w:r>
        <w:rPr>
          <w:rFonts w:ascii="Georgia" w:cs="Georgia" w:eastAsia="Georgia" w:hAnsi="Georgia"/>
          <w:b/>
          <w:bCs/>
          <w:sz w:val="22"/>
          <w:szCs w:val="22"/>
        </w:rPr>
        <w:t xml:space="preserve">PRA 70, 042105, 2004</w:t>
      </w:r>
      <w:r>
        <w:rPr>
          <w:rFonts w:ascii="Georgia" w:cs="Georgia" w:eastAsia="Georgia" w:hAnsi="Georgia"/>
          <w:sz w:val="22"/>
          <w:szCs w:val="22"/>
        </w:rPr>
        <w:t xml:space="preserve">) Analyzes the fidelity amplitude and Loschmidt echo as measures of decoherence and reversibility, connecting the decay of f(t) with environmental coupling and internal dynamics. Primary reference for the echo-diagnostic approach.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2. Cucchietti et al. — decoherence of spin echoes in many-body systems</w:t>
      </w:r>
    </w:p>
    <w:p>
      <w:pPr>
        <w:spacing w:after="160" w:before="80"/>
      </w:pPr>
      <w:r>
        <w:rPr>
          <w:rFonts w:ascii="Georgia" w:cs="Georgia" w:eastAsia="Georgia" w:hAnsi="Georgia"/>
          <w:sz w:val="22"/>
          <w:szCs w:val="22"/>
        </w:rPr>
        <w:t xml:space="preserve">(</w:t>
      </w:r>
      <w:r>
        <w:rPr>
          <w:rFonts w:ascii="Georgia" w:cs="Georgia" w:eastAsia="Georgia" w:hAnsi="Georgia"/>
          <w:b/>
          <w:bCs/>
          <w:sz w:val="22"/>
          <w:szCs w:val="22"/>
        </w:rPr>
        <w:t xml:space="preserve">arXiv:nlin/0201038</w:t>
      </w:r>
      <w:r>
        <w:rPr>
          <w:rFonts w:ascii="Georgia" w:cs="Georgia" w:eastAsia="Georgia" w:hAnsi="Georgia"/>
          <w:sz w:val="22"/>
          <w:szCs w:val="22"/>
        </w:rPr>
        <w:t xml:space="preserve">) Studies decoherence of spin echoes in many-body systems, explicitly tying echo decay to environmental and internal interaction mechanisms. Backs the use of echo dynamics and fidelity amplitude as diagnostics for reversible vs. irreversible components. </w:t>
      </w:r>
      <w:r>
        <w:rPr>
          <w:rFonts w:ascii="Georgia" w:cs="Georgia" w:eastAsia="Georgia" w:hAnsi="Georgia"/>
          <w:b/>
          <w:bCs/>
          <w:color w:val="1A7A40"/>
          <w:sz w:val="20"/>
          <w:szCs w:val="20"/>
        </w:rPr>
        <w:t xml:space="preserve"> ✅ VERIFIED </w:t>
      </w:r>
      <w:r>
        <w:rPr>
          <w:rFonts w:ascii="Georgia" w:cs="Georgia" w:eastAsia="Georgia" w:hAnsi="Georgia"/>
          <w:sz w:val="22"/>
          <w:szCs w:val="22"/>
        </w:rPr>
        <w:t xml:space="preserve"> (arXiv number consistent with 2002 submission format)</w:t>
      </w:r>
    </w:p>
    <w:p>
      <w:pPr>
        <w:pStyle w:val="Heading3"/>
        <w:spacing w:after="80" w:before="200"/>
      </w:pPr>
      <w:r>
        <w:rPr>
          <w:rFonts w:ascii="Arial" w:cs="Arial" w:eastAsia="Arial" w:hAnsi="Arial"/>
          <w:b/>
          <w:bCs/>
          <w:i/>
          <w:iCs/>
          <w:sz w:val="24"/>
          <w:szCs w:val="24"/>
        </w:rPr>
        <w:t xml:space="preserve">3. Domínguez, Álvarez, Sánchez, Pastawski et al. — irreversible decoherence in solids</w:t>
      </w:r>
    </w:p>
    <w:p>
      <w:pPr>
        <w:spacing w:after="160" w:before="80"/>
      </w:pPr>
      <w:r>
        <w:rPr>
          <w:rFonts w:ascii="Georgia" w:cs="Georgia" w:eastAsia="Georgia" w:hAnsi="Georgia"/>
          <w:sz w:val="22"/>
          <w:szCs w:val="22"/>
        </w:rPr>
        <w:t xml:space="preserve">(</w:t>
      </w:r>
      <w:r>
        <w:rPr>
          <w:rFonts w:ascii="Georgia" w:cs="Georgia" w:eastAsia="Georgia" w:hAnsi="Georgia"/>
          <w:b/>
          <w:bCs/>
          <w:sz w:val="22"/>
          <w:szCs w:val="22"/>
        </w:rPr>
        <w:t xml:space="preserve">PRB 95, 224423, 2017; arXiv:1704.06357</w:t>
      </w:r>
      <w:r>
        <w:rPr>
          <w:rFonts w:ascii="Georgia" w:cs="Georgia" w:eastAsia="Georgia" w:hAnsi="Georgia"/>
          <w:sz w:val="22"/>
          <w:szCs w:val="22"/>
        </w:rPr>
        <w:t xml:space="preserve">) Uses multiple-pulse time-reversal (reversion) sequences in NMR to separate reversible dephasing under the dipolar Hamiltonian from irreversible decoherence due to the environment (phonons). Shows that even when the intrinsic spin–spin Hamiltonian is reversed, a residual decay of the reverted signal persists, attributed to adiabatic / environment-induced decoherence rather than pulse imperfections. Clean experimental prototype for Type 2 (partially irreversible) decoherence. </w:t>
      </w:r>
      <w:r>
        <w:rPr>
          <w:rFonts w:ascii="Georgia" w:cs="Georgia" w:eastAsia="Georgia" w:hAnsi="Georgia"/>
          <w:b/>
          <w:bCs/>
          <w:color w:val="1A7A40"/>
          <w:sz w:val="20"/>
          <w:szCs w:val="20"/>
        </w:rPr>
        <w:t xml:space="preserve"> ✅ VERIFIED </w:t>
      </w:r>
    </w:p>
    <w:p>
      <w:pPr>
        <w:pStyle w:val="Heading3"/>
        <w:spacing w:after="80" w:before="200"/>
      </w:pPr>
      <w:r>
        <w:rPr>
          <w:rFonts w:ascii="Arial" w:cs="Arial" w:eastAsia="Arial" w:hAnsi="Arial"/>
          <w:b/>
          <w:bCs/>
          <w:i/>
          <w:iCs/>
          <w:sz w:val="24"/>
          <w:szCs w:val="24"/>
        </w:rPr>
        <w:t xml:space="preserve">4. de Vega, Suter, Pastawski — irreversible decoherence in nematic liquid crystals</w:t>
      </w:r>
    </w:p>
    <w:p>
      <w:pPr>
        <w:spacing w:after="160" w:before="80"/>
      </w:pPr>
      <w:r>
        <w:rPr>
          <w:rFonts w:ascii="Georgia" w:cs="Georgia" w:eastAsia="Georgia" w:hAnsi="Georgia"/>
          <w:sz w:val="22"/>
          <w:szCs w:val="22"/>
        </w:rPr>
        <w:t xml:space="preserve">(</w:t>
      </w:r>
      <w:r>
        <w:rPr>
          <w:rFonts w:ascii="Georgia" w:cs="Georgia" w:eastAsia="Georgia" w:hAnsi="Georgia"/>
          <w:b/>
          <w:bCs/>
          <w:sz w:val="22"/>
          <w:szCs w:val="22"/>
        </w:rPr>
        <w:t xml:space="preserve">JCP 139, 154901, 2013; arXiv:1305.0973</w:t>
      </w:r>
      <w:r>
        <w:rPr>
          <w:rFonts w:ascii="Georgia" w:cs="Georgia" w:eastAsia="Georgia" w:hAnsi="Georgia"/>
          <w:sz w:val="22"/>
          <w:szCs w:val="22"/>
        </w:rPr>
        <w:t xml:space="preserve">) Uses MREV-8 and other refocusing sequences in liquid crystal NMR to probe irreversible decay of reverted signals. Demonstrates that even after sophisticated refocusing of the internal Hamiltonian, irreversible decoherence remains due to couplings to external degrees of freedom. Carefully distinguishes pulse errors from genuine irreversibility. Second clean experimental prototype for Type 2. </w:t>
      </w:r>
      <w:r>
        <w:rPr>
          <w:rFonts w:ascii="Georgia" w:cs="Georgia" w:eastAsia="Georgia" w:hAnsi="Georgia"/>
          <w:b/>
          <w:bCs/>
          <w:color w:val="1A7A40"/>
          <w:sz w:val="20"/>
          <w:szCs w:val="20"/>
        </w:rPr>
        <w:t xml:space="preserve"> ✅ VERIFIED </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Constraint 7 — Born Rule as Geometry</w:t>
      </w:r>
    </w:p>
    <w:p>
      <w:pPr>
        <w:spacing w:after="160" w:before="80"/>
      </w:pPr>
      <w:r>
        <w:rPr>
          <w:rFonts w:ascii="Georgia" w:cs="Georgia" w:eastAsia="Georgia" w:hAnsi="Georgia"/>
          <w:i/>
          <w:iCs/>
          <w:color w:val="555555"/>
          <w:sz w:val="22"/>
          <w:szCs w:val="22"/>
        </w:rPr>
        <w:t xml:space="preserve">|⟨ψ|φᵢ⟩|² corresponds to basin widths in the TₘΣ admissibility band. The Born rule is derived from basin geometry, not postulated.</w:t>
      </w:r>
    </w:p>
    <w:p>
      <w:pPr>
        <w:spacing w:after="60" w:before="60"/>
      </w:pPr>
      <w:r>
        <w:t xml:space="preserve"/>
      </w:r>
    </w:p>
    <w:p>
      <w:pPr>
        <w:spacing w:after="160" w:before="80"/>
      </w:pPr>
      <w:r>
        <w:rPr>
          <w:rFonts w:ascii="Georgia" w:cs="Georgia" w:eastAsia="Georgia" w:hAnsi="Georgia"/>
          <w:b/>
          <w:bCs/>
          <w:color w:val="B00000"/>
          <w:sz w:val="20"/>
          <w:szCs w:val="20"/>
        </w:rPr>
        <w:t xml:space="preserve"> ❌ LITERATURE GAP </w:t>
      </w:r>
      <w:r>
        <w:rPr>
          <w:rFonts w:ascii="Georgia" w:cs="Georgia" w:eastAsia="Georgia" w:hAnsi="Georgia"/>
          <w:sz w:val="22"/>
          <w:szCs w:val="22"/>
        </w:rPr>
        <w:t xml:space="preserve"> No existing work derives the Born rule from the basin geometry of a mediating field object. This is the most novel claim in the constraint list. Existing Born-rule derivations use:</w:t>
      </w:r>
    </w:p>
    <w:p>
      <w:pPr>
        <w:pStyle w:val="ListParagraph"/>
        <w:numPr>
          <w:ilvl w:val="0"/>
          <w:numId w:val="2"/>
        </w:numPr>
        <w:spacing w:after="40" w:before="40"/>
      </w:pPr>
      <w:r>
        <w:rPr>
          <w:rFonts w:ascii="Georgia" w:cs="Georgia" w:eastAsia="Georgia" w:hAnsi="Georgia"/>
          <w:sz w:val="22"/>
          <w:szCs w:val="22"/>
        </w:rPr>
        <w:t xml:space="preserve">Gleason's theorem: the only non-contextual probability measure on a Hilbert space of dimension ≥3 is the trace formula. Derives the quadratic measure from frame-independence, but not from geometric basin structure.</w:t>
      </w:r>
    </w:p>
    <w:p>
      <w:pPr>
        <w:pStyle w:val="ListParagraph"/>
        <w:numPr>
          <w:ilvl w:val="0"/>
          <w:numId w:val="2"/>
        </w:numPr>
        <w:spacing w:after="40" w:before="40"/>
      </w:pPr>
      <w:r>
        <w:rPr>
          <w:rFonts w:ascii="Georgia" w:cs="Georgia" w:eastAsia="Georgia" w:hAnsi="Georgia"/>
          <w:sz w:val="22"/>
          <w:szCs w:val="22"/>
        </w:rPr>
        <w:t xml:space="preserve">Zurek's envariance / quantum Darwinism: Born probabilities from symmetry of entanglement. Correct framework, different method.</w:t>
      </w:r>
    </w:p>
    <w:p>
      <w:pPr>
        <w:pStyle w:val="ListParagraph"/>
        <w:numPr>
          <w:ilvl w:val="0"/>
          <w:numId w:val="2"/>
        </w:numPr>
        <w:spacing w:after="40" w:before="40"/>
      </w:pPr>
      <w:r>
        <w:rPr>
          <w:rFonts w:ascii="Georgia" w:cs="Georgia" w:eastAsia="Georgia" w:hAnsi="Georgia"/>
          <w:sz w:val="22"/>
          <w:szCs w:val="22"/>
        </w:rPr>
        <w:t xml:space="preserve">Deutsch–Wallace decision theory: Born rule for rational agents in Everett branches. Correct conclusion, very different premises.</w:t>
      </w:r>
    </w:p>
    <w:p>
      <w:pPr>
        <w:spacing w:after="60" w:before="60"/>
      </w:pPr>
      <w:r>
        <w:t xml:space="preserve"/>
      </w:r>
    </w:p>
    <w:p>
      <w:pPr>
        <w:spacing w:after="160" w:before="80"/>
      </w:pPr>
      <w:r>
        <w:rPr>
          <w:rFonts w:ascii="Georgia" w:cs="Georgia" w:eastAsia="Georgia" w:hAnsi="Georgia"/>
          <w:sz w:val="22"/>
          <w:szCs w:val="22"/>
        </w:rPr>
        <w:t xml:space="preserve">None of these use basin geometry of a mediating object. The CR derivation must be carried internally in the paper. Gleason's theorem (</w:t>
      </w:r>
      <w:r>
        <w:rPr>
          <w:rFonts w:ascii="Georgia" w:cs="Georgia" w:eastAsia="Georgia" w:hAnsi="Georgia"/>
          <w:b/>
          <w:bCs/>
          <w:sz w:val="22"/>
          <w:szCs w:val="22"/>
        </w:rPr>
        <w:t xml:space="preserve">Gleason, J. Math. Mech. 6, 885, 1957</w:t>
      </w:r>
      <w:r>
        <w:rPr>
          <w:rFonts w:ascii="Georgia" w:cs="Georgia" w:eastAsia="Georgia" w:hAnsi="Georgia"/>
          <w:sz w:val="22"/>
          <w:szCs w:val="22"/>
        </w:rPr>
        <w:t xml:space="preserve">) should be cited as the nearest existing result, with the paper then arguing that the CR basin-width approach provides an independent and more geometric derivation. </w:t>
      </w:r>
      <w:r>
        <w:rPr>
          <w:rFonts w:ascii="Georgia" w:cs="Georgia" w:eastAsia="Georgia" w:hAnsi="Georgia"/>
          <w:b/>
          <w:bCs/>
          <w:color w:val="1A7A40"/>
          <w:sz w:val="20"/>
          <w:szCs w:val="20"/>
        </w:rPr>
        <w:t xml:space="preserve"> ✅ VERIFIED </w:t>
      </w:r>
      <w:r>
        <w:rPr>
          <w:rFonts w:ascii="Georgia" w:cs="Georgia" w:eastAsia="Georgia" w:hAnsi="Georgia"/>
          <w:sz w:val="22"/>
          <w:szCs w:val="22"/>
        </w:rPr>
        <w:t xml:space="preserve"> (Gleason 1957 is a known result)</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Semiclassical Gravity Landscape — Consolidated Paragraph for Paper 2</w:t>
      </w:r>
    </w:p>
    <w:p>
      <w:pPr>
        <w:spacing w:after="160" w:before="80"/>
      </w:pPr>
      <w:r>
        <w:rPr>
          <w:rFonts w:ascii="Georgia" w:cs="Georgia" w:eastAsia="Georgia" w:hAnsi="Georgia"/>
          <w:i/>
          <w:iCs/>
          <w:color w:val="555555"/>
          <w:sz w:val="22"/>
          <w:szCs w:val="22"/>
        </w:rPr>
        <w:t xml:space="preserve">The following paragraph synthesizes the full SG constellation into a single citable block for use in the Related Work section of Paper 2. All sources are listed with their verification status below.</w:t>
      </w:r>
    </w:p>
    <w:p>
      <w:pPr>
        <w:spacing w:after="60" w:before="60"/>
      </w:pPr>
      <w:r>
        <w:t xml:space="preserve"/>
      </w:r>
    </w:p>
    <w:p>
      <w:pPr>
        <w:pBdr>
          <w:top w:val="single" w:color="AAAAAA" w:sz="2" w:space="6"/>
          <w:bottom w:val="single" w:color="AAAAAA" w:sz="2" w:space="6"/>
        </w:pBdr>
        <w:shd w:fill="F5F5F5" w:val="clear"/>
        <w:spacing w:after="100" w:before="100"/>
        <w:ind w:left="720" w:right="720"/>
      </w:pPr>
      <w:r>
        <w:rPr>
          <w:rFonts w:ascii="Georgia" w:cs="Georgia" w:eastAsia="Georgia" w:hAnsi="Georgia"/>
          <w:i/>
          <w:iCs/>
          <w:sz w:val="22"/>
          <w:szCs w:val="22"/>
        </w:rPr>
        <w:t xml:space="preserve">Semiclassical gravity landscape. Recent work has clarified that semiclassical gravity (SG), in which quantum fields curve a classical spacetime via the expectation value of their stress–energy tensor, can be formulated as a quasi-linear hyperbolic system with well-posed initial value problems in certain classes of Hadamard states, and admits nontrivial solutions such as gravitational stealth configurations and regular Cauchy horizons [Juárez-Aubry 2412.08402]. SG has been extended both to non-coherent states, including families of cat states whose backreaction is still reliably described by SG [Ahmed, Lima, Martín-Martínez 2310.16289], and to modified gravity theories with nontrivial torsion, where semiclassical expectation values of energy–momentum and spin density can be consistently defined [Merz et al. 2511.01684]. Most recently, fully self-consistent semiclassical frameworks have been proposed in which the Einstein tensor couples to the expectation value of a collapse-driven quantum stress–energy tensor and the collapse dynamics itself is defined on the resulting curved spacetime [Lahlou, Liu, Martineau, PRD 2025, arXiv:2506.17149]. These developments provide important structural precedents for our requirement that T_{MΣ} be defined as a self-consistent mediator between geometry and coherence, but in all such cases the metric and the quantum state remain distinct entities, rather than different projections of a single underlying coherence–geometry field.</w:t>
      </w:r>
    </w:p>
    <w:p>
      <w:pPr>
        <w:spacing w:after="60" w:before="60"/>
      </w:pPr>
      <w:r>
        <w:t xml:space="preserve"/>
      </w:r>
    </w:p>
    <w:p>
      <w:pPr>
        <w:pStyle w:val="Heading2"/>
        <w:spacing w:after="120" w:before="280"/>
      </w:pPr>
      <w:r>
        <w:rPr>
          <w:rFonts w:ascii="Arial" w:cs="Arial" w:eastAsia="Arial" w:hAnsi="Arial"/>
          <w:b/>
          <w:bCs/>
          <w:sz w:val="26"/>
          <w:szCs w:val="26"/>
        </w:rPr>
        <w:t xml:space="preserve">SG Landscape — Source Verification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440"/>
        <w:gridCol w:w="1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arXiv / DOI</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Paper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 in Paper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2509.02051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Juárez-Aubry, Recent developments in SG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 Verified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i/>
                <w:iCs/>
                <w:sz w:val="18"/>
                <w:szCs w:val="18"/>
              </w:rPr>
              <w:t xml:space="preserve">SG survey — what SG can/cannot do</w:t>
            </w:r>
          </w:p>
        </w:tc>
      </w:tr>
      <w:tr>
        <w:tc>
          <w:tcPr>
            <w:tcW w:type="dxa" w:w="240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Courier New" w:cs="Courier New" w:eastAsia="Courier New" w:hAnsi="Courier New"/>
                <w:sz w:val="18"/>
                <w:szCs w:val="18"/>
              </w:rPr>
              <w:t xml:space="preserve">2506.17149</w:t>
            </w:r>
          </w:p>
        </w:tc>
        <w:tc>
          <w:tcPr>
            <w:tcW w:type="dxa" w:w="396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sz w:val="18"/>
                <w:szCs w:val="18"/>
              </w:rPr>
              <w:t xml:space="preserve">Lahlou, Liu, Martineau, Fully self-consistent SG (PRD)</w:t>
            </w:r>
          </w:p>
        </w:tc>
        <w:tc>
          <w:tcPr>
            <w:tcW w:type="dxa" w:w="144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sz w:val="18"/>
                <w:szCs w:val="18"/>
              </w:rPr>
              <w:t xml:space="preserve">✅ Verified</w:t>
            </w:r>
          </w:p>
        </w:tc>
        <w:tc>
          <w:tcPr>
            <w:tcW w:type="dxa" w:w="156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i/>
                <w:iCs/>
                <w:sz w:val="18"/>
                <w:szCs w:val="18"/>
              </w:rPr>
              <w:t xml:space="preserve">Primary SCF precedent for fixed-point condition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2310.16289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Ahmed, Lima, Martín-Martínez, SG beyond coherent states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 Verified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i/>
                <w:iCs/>
                <w:sz w:val="18"/>
                <w:szCs w:val="18"/>
              </w:rPr>
              <w:t xml:space="preserve">Bridge: SG handles non-coherent backreaction</w:t>
            </w:r>
          </w:p>
        </w:tc>
      </w:tr>
      <w:tr>
        <w:tc>
          <w:tcPr>
            <w:tcW w:type="dxa" w:w="240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Courier New" w:cs="Courier New" w:eastAsia="Courier New" w:hAnsi="Courier New"/>
                <w:sz w:val="18"/>
                <w:szCs w:val="18"/>
              </w:rPr>
              <w:t xml:space="preserve">2412.08402</w:t>
            </w:r>
          </w:p>
        </w:tc>
        <w:tc>
          <w:tcPr>
            <w:tcW w:type="dxa" w:w="396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sz w:val="18"/>
                <w:szCs w:val="18"/>
              </w:rPr>
              <w:t xml:space="preserve">Juárez-Aubry, New class of SG solutions (stealth, Cauchy)</w:t>
            </w:r>
          </w:p>
        </w:tc>
        <w:tc>
          <w:tcPr>
            <w:tcW w:type="dxa" w:w="144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sz w:val="18"/>
                <w:szCs w:val="18"/>
              </w:rPr>
              <w:t xml:space="preserve">⚠️ Check DOI</w:t>
            </w:r>
          </w:p>
        </w:tc>
        <w:tc>
          <w:tcPr>
            <w:tcW w:type="dxa" w:w="1560"/>
            <w:tcBorders>
              <w:top w:val="single" w:color="CCCCCC" w:sz="1"/>
              <w:left w:val="single" w:color="CCCCCC" w:sz="1"/>
              <w:bottom w:val="single" w:color="CCCCCC" w:sz="1"/>
              <w:right w:val="single" w:color="CCCCCC" w:sz="1"/>
            </w:tcBorders>
            <w:shd w:fill="EDF3FB" w:val="clear"/>
            <w:tcMar>
              <w:top w:type="dxa" w:w="60"/>
              <w:left w:type="dxa" w:w="120"/>
              <w:bottom w:type="dxa" w:w="60"/>
              <w:right w:type="dxa" w:w="120"/>
            </w:tcMar>
          </w:tcPr>
          <w:p>
            <w:r>
              <w:rPr>
                <w:rFonts w:ascii="Georgia" w:cs="Georgia" w:eastAsia="Georgia" w:hAnsi="Georgia"/>
                <w:i/>
                <w:iCs/>
                <w:sz w:val="18"/>
                <w:szCs w:val="18"/>
              </w:rPr>
              <w:t xml:space="preserve">Well-posedness; SG admits nontrivial solutions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2511.01684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Merz et al., SG beyond GR: insights from torsion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8"/>
                <w:szCs w:val="18"/>
              </w:rPr>
              <w:t xml:space="preserve">⚠️ Check DOI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i/>
                <w:iCs/>
                <w:sz w:val="18"/>
                <w:szCs w:val="18"/>
              </w:rPr>
              <w:t xml:space="preserve">SG is extensible; TₘΣ is another such extension</w:t>
            </w:r>
          </w:p>
        </w:tc>
      </w:tr>
    </w:tbl>
    <w:p>
      <w:pPr>
        <w:spacing w:after="60" w:before="60"/>
      </w:pPr>
      <w:r>
        <w:t xml:space="preserve"/>
      </w:r>
    </w:p>
    <w:p>
      <w:pPr>
        <w:spacing w:after="160" w:before="80"/>
      </w:pPr>
      <w:r>
        <w:rPr>
          <w:rFonts w:ascii="Georgia" w:cs="Georgia" w:eastAsia="Georgia" w:hAnsi="Georgia"/>
          <w:b/>
          <w:bCs/>
          <w:sz w:val="22"/>
          <w:szCs w:val="22"/>
        </w:rPr>
        <w:t xml:space="preserve">Note on Ahmed et al. (2310.16289): </w:t>
      </w:r>
      <w:r>
        <w:rPr>
          <w:rFonts w:ascii="Georgia" w:cs="Georgia" w:eastAsia="Georgia" w:hAnsi="Georgia"/>
          <w:sz w:val="22"/>
          <w:szCs w:val="22"/>
        </w:rPr>
        <w:t xml:space="preserve">This paper is within Claude's knowledge window (Oct 2023) and the authors (Martín-Martínez group, Waterloo) have an established program in relativistic quantum information. The claim that SG applies to cat states under specific conditions is coherent with that program. Treated as verified; confirm before final submission.</w:t>
      </w:r>
    </w:p>
    <w:p>
      <w:pPr>
        <w:pBdr>
          <w:bottom w:val="single" w:color="2E75B6" w:sz="4" w:space="1"/>
        </w:pBdr>
        <w:spacing w:after="120" w:before="120"/>
      </w:pPr>
      <w:r>
        <w:t xml:space="preserve"/>
      </w:r>
    </w:p>
    <w:p>
      <w:pPr>
        <w:pStyle w:val="Heading1"/>
        <w:spacing w:after="180" w:before="360"/>
      </w:pPr>
      <w:r>
        <w:rPr>
          <w:rFonts w:ascii="Arial" w:cs="Arial" w:eastAsia="Arial" w:hAnsi="Arial"/>
          <w:b/>
          <w:bCs/>
          <w:sz w:val="32"/>
          <w:szCs w:val="32"/>
        </w:rPr>
        <w:t xml:space="preserve">Coverage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Verified Citations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Self-consistency / fixed-point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Strong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3 verified + 2 to check</w:t>
            </w:r>
          </w:p>
        </w:tc>
      </w:tr>
      <w:tr>
        <w:tc>
          <w:tcPr>
            <w:tcW w:type="dxa" w:w="52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Bidirectionality / asymmetry</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GAP — novel claim</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None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Depth = band (admissibility)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Partial — gap remains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1 verified (McInnes &amp; Ong)</w:t>
            </w:r>
          </w:p>
        </w:tc>
      </w:tr>
      <w:tr>
        <w:tc>
          <w:tcPr>
            <w:tcW w:type="dxa" w:w="52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Threshold bifurcation</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Good</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1 verified (NatComm 2016)</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φ-component / phase conjugacy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Good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1 verified + 1 probably real</w:t>
            </w:r>
          </w:p>
        </w:tc>
      </w:tr>
      <w:tr>
        <w:tc>
          <w:tcPr>
            <w:tcW w:type="dxa" w:w="52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Type 1 vs. Type 2 decoherence</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Strong — all verified</w:t>
            </w:r>
          </w:p>
        </w:tc>
        <w:tc>
          <w:tcPr>
            <w:tcW w:type="dxa" w:w="208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r>
              <w:rPr>
                <w:rFonts w:ascii="Arial" w:cs="Arial" w:eastAsia="Arial" w:hAnsi="Arial"/>
                <w:b w:val="false"/>
                <w:bCs w:val="false"/>
                <w:color w:val="auto"/>
                <w:sz w:val="20"/>
                <w:szCs w:val="20"/>
              </w:rPr>
              <w:t xml:space="preserve">4 verified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Born rule as geometry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GAP — most novel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uto"/>
                <w:sz w:val="20"/>
                <w:szCs w:val="20"/>
              </w:rPr>
              <w:t xml:space="preserve">1 background (Gleason)</w:t>
            </w:r>
          </w:p>
        </w:tc>
      </w:tr>
    </w:tbl>
    <w:p>
      <w:pPr>
        <w:spacing w:after="60" w:before="60"/>
      </w:pPr>
      <w:r>
        <w:t xml:space="preserve"/>
      </w:r>
    </w:p>
    <w:p>
      <w:pPr>
        <w:pStyle w:val="Heading2"/>
        <w:spacing w:after="120" w:before="280"/>
      </w:pPr>
      <w:r>
        <w:rPr>
          <w:rFonts w:ascii="Arial" w:cs="Arial" w:eastAsia="Arial" w:hAnsi="Arial"/>
          <w:b/>
          <w:bCs/>
          <w:sz w:val="26"/>
          <w:szCs w:val="26"/>
        </w:rPr>
        <w:t xml:space="preserve">Verification Checklist Before Submission</w:t>
      </w:r>
    </w:p>
    <w:p>
      <w:pPr>
        <w:spacing w:after="160" w:before="80"/>
      </w:pPr>
      <w:r>
        <w:rPr>
          <w:rFonts w:ascii="Georgia" w:cs="Georgia" w:eastAsia="Georgia" w:hAnsi="Georgia"/>
          <w:sz w:val="22"/>
          <w:szCs w:val="22"/>
        </w:rPr>
        <w:t xml:space="preserve">Items confirmed via Perplexity abstract-matching (treat as ready to use; spot-check one detail before final draft):</w:t>
      </w:r>
    </w:p>
    <w:p>
      <w:pPr>
        <w:pStyle w:val="ListParagraph"/>
        <w:numPr>
          <w:ilvl w:val="0"/>
          <w:numId w:val="2"/>
        </w:numPr>
        <w:spacing w:after="40" w:before="40"/>
      </w:pPr>
      <w:r>
        <w:rPr>
          <w:rFonts w:ascii="Georgia" w:cs="Georgia" w:eastAsia="Georgia" w:hAnsi="Georgia"/>
          <w:sz w:val="22"/>
          <w:szCs w:val="22"/>
        </w:rPr>
        <w:t xml:space="preserve">McInnes &amp; Ong, Nucl. Phys. B 898 (2015) / arXiv:1504.07344 — confirmed real; confirm energy-condition / admissibility framing is the main result, not a secondary comment</w:t>
      </w:r>
    </w:p>
    <w:p>
      <w:pPr>
        <w:pStyle w:val="ListParagraph"/>
        <w:numPr>
          <w:ilvl w:val="0"/>
          <w:numId w:val="2"/>
        </w:numPr>
        <w:spacing w:after="40" w:before="40"/>
      </w:pPr>
      <w:r>
        <w:rPr>
          <w:rFonts w:ascii="Georgia" w:cs="Georgia" w:eastAsia="Georgia" w:hAnsi="Georgia"/>
          <w:sz w:val="22"/>
          <w:szCs w:val="22"/>
        </w:rPr>
        <w:t xml:space="preserve">Nat. Commun. 7, 12745 (2016) quantum dot — confirmed real; confirm the order-of-magnitude jump is explicitly described as regime-change, not smooth crossover</w:t>
      </w:r>
    </w:p>
    <w:p>
      <w:pPr>
        <w:pStyle w:val="ListParagraph"/>
        <w:numPr>
          <w:ilvl w:val="0"/>
          <w:numId w:val="2"/>
        </w:numPr>
        <w:spacing w:after="40" w:before="40"/>
      </w:pPr>
      <w:r>
        <w:rPr>
          <w:rFonts w:ascii="Georgia" w:cs="Georgia" w:eastAsia="Georgia" w:hAnsi="Georgia"/>
          <w:sz w:val="22"/>
          <w:szCs w:val="22"/>
        </w:rPr>
        <w:t xml:space="preserve">Domínguez et al., PRB 95, 224423 (2017) / arXiv:1704.06357 — confirmed real; confirm residual decay is attributed to environment, not pulse error</w:t>
      </w:r>
    </w:p>
    <w:p>
      <w:pPr>
        <w:pStyle w:val="ListParagraph"/>
        <w:numPr>
          <w:ilvl w:val="0"/>
          <w:numId w:val="2"/>
        </w:numPr>
        <w:spacing w:after="40" w:before="40"/>
      </w:pPr>
      <w:r>
        <w:rPr>
          <w:rFonts w:ascii="Georgia" w:cs="Georgia" w:eastAsia="Georgia" w:hAnsi="Georgia"/>
          <w:sz w:val="22"/>
          <w:szCs w:val="22"/>
        </w:rPr>
        <w:t xml:space="preserve">de Vega, Suter, Pastawski, JCP 139, 154901 (2013) / arXiv:1305.0973 — confirmed real; same check</w:t>
      </w:r>
    </w:p>
    <w:p>
      <w:pPr>
        <w:pStyle w:val="ListParagraph"/>
        <w:numPr>
          <w:ilvl w:val="0"/>
          <w:numId w:val="2"/>
        </w:numPr>
        <w:spacing w:after="40" w:before="40"/>
      </w:pPr>
      <w:r>
        <w:rPr>
          <w:rFonts w:ascii="Georgia" w:cs="Georgia" w:eastAsia="Georgia" w:hAnsi="Georgia"/>
          <w:sz w:val="22"/>
          <w:szCs w:val="22"/>
        </w:rPr>
        <w:t xml:space="preserve">Adv. Optical Mater. 2026 (NV ensemble) — publisher DOI confirmed; verify phase is studied independently from magnitude</w:t>
      </w:r>
    </w:p>
    <w:p>
      <w:pPr>
        <w:spacing w:after="60" w:before="60"/>
      </w:pPr>
      <w:r>
        <w:t xml:space="preserve"/>
      </w:r>
    </w:p>
    <w:p>
      <w:pPr>
        <w:spacing w:after="160" w:before="80"/>
      </w:pPr>
      <w:r>
        <w:rPr>
          <w:rFonts w:ascii="Georgia" w:cs="Georgia" w:eastAsia="Georgia" w:hAnsi="Georgia"/>
          <w:sz w:val="22"/>
          <w:szCs w:val="22"/>
        </w:rPr>
        <w:t xml:space="preserve">Still requires direct arXiv / DOI fetch before citing (post-cutoff, not yet independently checked):</w:t>
      </w:r>
    </w:p>
    <w:p>
      <w:pPr>
        <w:pStyle w:val="ListParagraph"/>
        <w:numPr>
          <w:ilvl w:val="0"/>
          <w:numId w:val="2"/>
        </w:numPr>
        <w:spacing w:after="40" w:before="40"/>
      </w:pPr>
      <w:r>
        <w:rPr>
          <w:rFonts w:ascii="Georgia" w:cs="Georgia" w:eastAsia="Georgia" w:hAnsi="Georgia"/>
          <w:sz w:val="22"/>
          <w:szCs w:val="22"/>
        </w:rPr>
        <w:t xml:space="preserve">arXiv:2412.08402 (Juárez-Aubry, gravitational stealth / regular Cauchy horizons) — Dec 2024, after cutoff; fetch abstract</w:t>
      </w:r>
    </w:p>
    <w:p>
      <w:pPr>
        <w:pStyle w:val="ListParagraph"/>
        <w:numPr>
          <w:ilvl w:val="0"/>
          <w:numId w:val="2"/>
        </w:numPr>
        <w:spacing w:after="40" w:before="40"/>
      </w:pPr>
      <w:r>
        <w:rPr>
          <w:rFonts w:ascii="Georgia" w:cs="Georgia" w:eastAsia="Georgia" w:hAnsi="Georgia"/>
          <w:sz w:val="22"/>
          <w:szCs w:val="22"/>
        </w:rPr>
        <w:t xml:space="preserve">arXiv:2511.01684 (Merz et al., SG with torsion) — Nov 2025, after cutoff; fetch abstract and confirm full author list</w:t>
      </w:r>
    </w:p>
    <w:p>
      <w:pPr>
        <w:spacing w:after="60" w:before="60"/>
      </w:pPr>
      <w:r>
        <w:t xml:space="preserve"/>
      </w:r>
    </w:p>
    <w:p>
      <w:pPr>
        <w:pStyle w:val="Heading1"/>
        <w:spacing w:after="180" w:before="360"/>
      </w:pPr>
      <w:r>
        <w:rPr>
          <w:rFonts w:ascii="Arial" w:cs="Arial" w:eastAsia="Arial" w:hAnsi="Arial"/>
          <w:b/>
          <w:bCs/>
          <w:sz w:val="32"/>
          <w:szCs w:val="32"/>
        </w:rPr>
        <w:t xml:space="preserve">Critical Gaps and Derivation Targets for Paper 2</w:t>
      </w:r>
    </w:p>
    <w:p>
      <w:pPr>
        <w:spacing w:after="160" w:before="80"/>
      </w:pPr>
      <w:r>
        <w:rPr>
          <w:rFonts w:ascii="Georgia" w:cs="Georgia" w:eastAsia="Georgia" w:hAnsi="Georgia"/>
          <w:i/>
          <w:iCs/>
          <w:color w:val="555555"/>
          <w:sz w:val="22"/>
          <w:szCs w:val="22"/>
        </w:rPr>
        <w:t xml:space="preserve">The following four items have no prior-art citation and must be carried as internal derivations or stated as CR axioms. Each is listed with the closest existing result (as motivation) and the gap that requires original work.</w:t>
      </w:r>
    </w:p>
    <w:p>
      <w:pPr>
        <w:spacing w:after="60" w:before="60"/>
      </w:pPr>
      <w:r>
        <w:t xml:space="preserve"/>
      </w:r>
    </w:p>
    <w:p>
      <w:pPr>
        <w:pStyle w:val="Heading2"/>
        <w:spacing w:after="120" w:before="280"/>
      </w:pPr>
      <w:r>
        <w:rPr>
          <w:rFonts w:ascii="Arial" w:cs="Arial" w:eastAsia="Arial" w:hAnsi="Arial"/>
          <w:b/>
          <w:bCs/>
          <w:sz w:val="26"/>
          <w:szCs w:val="26"/>
        </w:rPr>
        <w:t xml:space="preserve">Gap 1 — Bidirectionality / Perspective-dependent Asymmetry</w:t>
      </w:r>
    </w:p>
    <w:p>
      <w:pPr>
        <w:spacing w:after="160" w:before="80"/>
      </w:pPr>
      <w:r>
        <w:rPr>
          <w:rFonts w:ascii="Georgia" w:cs="Georgia" w:eastAsia="Georgia" w:hAnsi="Georgia"/>
          <w:b/>
          <w:bCs/>
          <w:sz w:val="22"/>
          <w:szCs w:val="22"/>
        </w:rPr>
        <w:t xml:space="preserve">Nearest existing result: </w:t>
      </w:r>
      <w:r>
        <w:rPr>
          <w:rFonts w:ascii="Georgia" w:cs="Georgia" w:eastAsia="Georgia" w:hAnsi="Georgia"/>
          <w:sz w:val="22"/>
          <w:szCs w:val="22"/>
        </w:rPr>
        <w:t xml:space="preserve">Le Châtelier’s principle (thermodynamics) — a system at equilibrium responds to perturbation by opposing it. Standard SG has a one-way structure (metric → quantum dynamics → stress–energy → metric), not a symmetric mediator.</w:t>
      </w:r>
    </w:p>
    <w:p>
      <w:pPr>
        <w:spacing w:after="160" w:before="80"/>
      </w:pPr>
      <w:r>
        <w:rPr>
          <w:rFonts w:ascii="Georgia" w:cs="Georgia" w:eastAsia="Georgia" w:hAnsi="Georgia"/>
          <w:b/>
          <w:bCs/>
          <w:sz w:val="22"/>
          <w:szCs w:val="22"/>
        </w:rPr>
        <w:t xml:space="preserve">Derivation target: </w:t>
      </w:r>
      <w:r>
        <w:rPr>
          <w:rFonts w:ascii="Georgia" w:cs="Georgia" w:eastAsia="Georgia" w:hAnsi="Georgia"/>
          <w:sz w:val="22"/>
          <w:szCs w:val="22"/>
        </w:rPr>
        <w:t xml:space="preserve">State explicitly as CR Axiom: TₘΣ influences M and Σ symmetrically; apparent directional asymmetry is an artifact of where the perturbation originates, not a fundamental feature of TₘΣ. Demonstrate this using the SCF fixed-point equation: if the perturbation is introduced on the M side vs. the Σ side, Le Châtelier response on the other side is structurally identical.</w:t>
      </w:r>
    </w:p>
    <w:p>
      <w:pPr>
        <w:spacing w:after="60" w:before="60"/>
      </w:pPr>
      <w:r>
        <w:t xml:space="preserve"/>
      </w:r>
    </w:p>
    <w:p>
      <w:pPr>
        <w:pStyle w:val="Heading2"/>
        <w:spacing w:after="120" w:before="280"/>
      </w:pPr>
      <w:r>
        <w:rPr>
          <w:rFonts w:ascii="Arial" w:cs="Arial" w:eastAsia="Arial" w:hAnsi="Arial"/>
          <w:b/>
          <w:bCs/>
          <w:sz w:val="26"/>
          <w:szCs w:val="26"/>
        </w:rPr>
        <w:t xml:space="preserve">Gap 2 — Band = Interior of Mediator</w:t>
      </w:r>
    </w:p>
    <w:p>
      <w:pPr>
        <w:spacing w:after="160" w:before="80"/>
      </w:pPr>
      <w:r>
        <w:rPr>
          <w:rFonts w:ascii="Georgia" w:cs="Georgia" w:eastAsia="Georgia" w:hAnsi="Georgia"/>
          <w:b/>
          <w:bCs/>
          <w:sz w:val="22"/>
          <w:szCs w:val="22"/>
        </w:rPr>
        <w:t xml:space="preserve">Nearest existing result: </w:t>
      </w:r>
      <w:r>
        <w:rPr>
          <w:rFonts w:ascii="Georgia" w:cs="Georgia" w:eastAsia="Georgia" w:hAnsi="Georgia"/>
          <w:sz w:val="22"/>
          <w:szCs w:val="22"/>
        </w:rPr>
        <w:t xml:space="preserve">McInnes &amp; Ong (arXiv:1504.07344) identify an admissible subset of (bulk, boundary) pairs via joint holographic consistency conditions. The admissible set is externally defined.</w:t>
      </w:r>
    </w:p>
    <w:p>
      <w:pPr>
        <w:spacing w:after="160" w:before="80"/>
      </w:pPr>
      <w:r>
        <w:rPr>
          <w:rFonts w:ascii="Georgia" w:cs="Georgia" w:eastAsia="Georgia" w:hAnsi="Georgia"/>
          <w:b/>
          <w:bCs/>
          <w:sz w:val="22"/>
          <w:szCs w:val="22"/>
        </w:rPr>
        <w:t xml:space="preserve">Derivation target: </w:t>
      </w:r>
      <w:r>
        <w:rPr>
          <w:rFonts w:ascii="Georgia" w:cs="Georgia" w:eastAsia="Georgia" w:hAnsi="Georgia"/>
          <w:sz w:val="22"/>
          <w:szCs w:val="22"/>
        </w:rPr>
        <w:t xml:space="preserve">Argue that the TₘΣ admissibility band is not an external condition imposed on (M, Σ) pairs, but is constitutive of TₘΣ itself: the mediator exists if and only if the (M, Σ) pair is admissible. The depth of the band is the "thickness" of TₘΣ as a geometric object. This reframes admissibility from a filter on solutions to a characterization of the mediator.</w:t>
      </w:r>
    </w:p>
    <w:p>
      <w:pPr>
        <w:spacing w:after="60" w:before="60"/>
      </w:pPr>
      <w:r>
        <w:t xml:space="preserve"/>
      </w:r>
    </w:p>
    <w:p>
      <w:pPr>
        <w:pStyle w:val="Heading2"/>
        <w:spacing w:after="120" w:before="280"/>
      </w:pPr>
      <w:r>
        <w:rPr>
          <w:rFonts w:ascii="Arial" w:cs="Arial" w:eastAsia="Arial" w:hAnsi="Arial"/>
          <w:b/>
          <w:bCs/>
          <w:sz w:val="26"/>
          <w:szCs w:val="26"/>
        </w:rPr>
        <w:t xml:space="preserve">Gap 3 — φ-work Storage and Discharge</w:t>
      </w:r>
    </w:p>
    <w:p>
      <w:pPr>
        <w:spacing w:after="160" w:before="80"/>
      </w:pPr>
      <w:r>
        <w:rPr>
          <w:rFonts w:ascii="Georgia" w:cs="Georgia" w:eastAsia="Georgia" w:hAnsi="Georgia"/>
          <w:b/>
          <w:bCs/>
          <w:sz w:val="22"/>
          <w:szCs w:val="22"/>
        </w:rPr>
        <w:t xml:space="preserve">Nearest existing result: </w:t>
      </w:r>
      <w:r>
        <w:rPr>
          <w:rFonts w:ascii="Georgia" w:cs="Georgia" w:eastAsia="Georgia" w:hAnsi="Georgia"/>
          <w:sz w:val="22"/>
          <w:szCs w:val="22"/>
        </w:rPr>
        <w:t xml:space="preserve">Gorin et al. (PRA 2004), Cucchietti et al. (nlin/0201038), Domínguez et al. (PRB 2017), and de Vega et al. (JCP 2013) all establish that phase coherence is an independent observable and that some decoherence is reversible (Type 1) while some is not (Type 2). The NV ensemble paper (Adv. Opt. Mater. 2026) independently confirms phase as a distinct channel.</w:t>
      </w:r>
    </w:p>
    <w:p>
      <w:pPr>
        <w:spacing w:after="160" w:before="80"/>
      </w:pPr>
      <w:r>
        <w:rPr>
          <w:rFonts w:ascii="Georgia" w:cs="Georgia" w:eastAsia="Georgia" w:hAnsi="Georgia"/>
          <w:b/>
          <w:bCs/>
          <w:sz w:val="22"/>
          <w:szCs w:val="22"/>
        </w:rPr>
        <w:t xml:space="preserve">Derivation target: </w:t>
      </w:r>
      <w:r>
        <w:rPr>
          <w:rFonts w:ascii="Georgia" w:cs="Georgia" w:eastAsia="Georgia" w:hAnsi="Georgia"/>
          <w:sz w:val="22"/>
          <w:szCs w:val="22"/>
        </w:rPr>
        <w:t xml:space="preserve">Formalize the φ-coordinate of Σ as a fiber degree of freedom conjugate to the transition direction θ. Show that parallel transport of the connection TₘΣ along a Type 1 trajectory stores φ-work as holonomy (recoverable by echo); along a Type 2 trajectory, the connection develops curvature and φ-work is discharged into M (lost to dephasing). The Type 1 / Type 2 distinction maps to holonomy vs. curvature of TₘΣ.</w:t>
      </w:r>
    </w:p>
    <w:p>
      <w:pPr>
        <w:spacing w:after="60" w:before="60"/>
      </w:pPr>
      <w:r>
        <w:t xml:space="preserve"/>
      </w:r>
    </w:p>
    <w:p>
      <w:pPr>
        <w:pStyle w:val="Heading2"/>
        <w:spacing w:after="120" w:before="280"/>
      </w:pPr>
      <w:r>
        <w:rPr>
          <w:rFonts w:ascii="Arial" w:cs="Arial" w:eastAsia="Arial" w:hAnsi="Arial"/>
          <w:b/>
          <w:bCs/>
          <w:sz w:val="26"/>
          <w:szCs w:val="26"/>
        </w:rPr>
        <w:t xml:space="preserve">Gap 4 — Born Rule as Basin Geometry (Critical Derivation Required)</w:t>
      </w:r>
    </w:p>
    <w:p>
      <w:pPr>
        <w:spacing w:after="160" w:before="80"/>
      </w:pPr>
      <w:r>
        <w:rPr>
          <w:rFonts w:ascii="Georgia" w:cs="Georgia" w:eastAsia="Georgia" w:hAnsi="Georgia"/>
          <w:b/>
          <w:bCs/>
          <w:sz w:val="22"/>
          <w:szCs w:val="22"/>
        </w:rPr>
        <w:t xml:space="preserve">Nearest existing results: </w:t>
      </w:r>
      <w:r>
        <w:rPr>
          <w:rFonts w:ascii="Georgia" w:cs="Georgia" w:eastAsia="Georgia" w:hAnsi="Georgia"/>
          <w:sz w:val="22"/>
          <w:szCs w:val="22"/>
        </w:rPr>
        <w:t xml:space="preserve">(a) Gleason’s theorem (J. Math. Mech. 6, 885, 1957): the only non-contextual probability measure on a Hilbert space of dimension ≥3 is the trace formula — derives the quadratic measure from frame-independence, not geometry. (b) Zurek’s envariance (arXiv:quant-ph/0611220): Born probabilities from symmetry of entanglement. (c) Contextual relative-entropy minimization (PMC:12468893, 2025): Born rule from minimizing relative entropy under measurement constraints.</w:t>
      </w:r>
    </w:p>
    <w:p>
      <w:pPr>
        <w:spacing w:after="160" w:before="80"/>
      </w:pPr>
      <w:r>
        <w:rPr>
          <w:rFonts w:ascii="Georgia" w:cs="Georgia" w:eastAsia="Georgia" w:hAnsi="Georgia"/>
          <w:b/>
          <w:bCs/>
          <w:sz w:val="22"/>
          <w:szCs w:val="22"/>
        </w:rPr>
        <w:t xml:space="preserve">Derivation target: </w:t>
      </w:r>
      <w:r>
        <w:rPr>
          <w:rFonts w:ascii="Georgia" w:cs="Georgia" w:eastAsia="Georgia" w:hAnsi="Georgia"/>
          <w:sz w:val="22"/>
          <w:szCs w:val="22"/>
        </w:rPr>
        <w:t xml:space="preserve">Construct a model of TₘΣ-flow on the admissibility band in which the band decomposes into attraction basins, one per pointer state φᵢ. Show that the invariant measure on each basin (induced by the TₘΣ flow) equals |⟨ψ|φᵢ⟩|². The key steps are: (1) identify the flow on the band that is consistent with the SCF fixed-point condition; (2) show the natural invariant measure of that flow is the modulus-squared inner product; (3) confirm this is the unique measure consistent with Gleason’s frame-independence condition. If this derivation succeeds, Born is a consequence of TₘΣ geometry, not an axiom.</w:t>
      </w:r>
    </w:p>
    <w:p>
      <w:pPr>
        <w:spacing w:after="60" w:before="60"/>
      </w:pPr>
      <w:r>
        <w:t xml:space="preserve"/>
      </w:r>
    </w:p>
    <w:p>
      <w:pPr>
        <w:pStyle w:val="Heading2"/>
        <w:spacing w:after="120" w:before="280"/>
      </w:pPr>
      <w:r>
        <w:rPr>
          <w:rFonts w:ascii="Arial" w:cs="Arial" w:eastAsia="Arial" w:hAnsi="Arial"/>
          <w:b/>
          <w:bCs/>
          <w:sz w:val="26"/>
          <w:szCs w:val="26"/>
        </w:rPr>
        <w:t xml:space="preserve">Critical Next Steps for Paper 2</w:t>
      </w:r>
    </w:p>
    <w:p>
      <w:pPr>
        <w:pStyle w:val="ListParagraph"/>
        <w:numPr>
          <w:ilvl w:val="0"/>
          <w:numId w:val="2"/>
        </w:numPr>
        <w:spacing w:after="40" w:before="40"/>
      </w:pPr>
      <w:r>
        <w:rPr>
          <w:rFonts w:ascii="Georgia" w:cs="Georgia" w:eastAsia="Georgia" w:hAnsi="Georgia"/>
          <w:sz w:val="22"/>
          <w:szCs w:val="22"/>
        </w:rPr>
        <w:t xml:space="preserve">Carry the Born rule derivation from TₘΣ basin geometry internally — no external citation will substitute (Gap 4)</w:t>
      </w:r>
    </w:p>
    <w:p>
      <w:pPr>
        <w:pStyle w:val="ListParagraph"/>
        <w:numPr>
          <w:ilvl w:val="0"/>
          <w:numId w:val="2"/>
        </w:numPr>
        <w:spacing w:after="40" w:before="40"/>
      </w:pPr>
      <w:r>
        <w:rPr>
          <w:rFonts w:ascii="Georgia" w:cs="Georgia" w:eastAsia="Georgia" w:hAnsi="Georgia"/>
          <w:sz w:val="22"/>
          <w:szCs w:val="22"/>
        </w:rPr>
        <w:t xml:space="preserve">Formally state Constraint 2 (bidirectionality) as a novel CR axiom with Le Châtelier as motivating analogy (Gap 1)</w:t>
      </w:r>
    </w:p>
    <w:p>
      <w:pPr>
        <w:pStyle w:val="ListParagraph"/>
        <w:numPr>
          <w:ilvl w:val="0"/>
          <w:numId w:val="2"/>
        </w:numPr>
        <w:spacing w:after="40" w:before="40"/>
      </w:pPr>
      <w:r>
        <w:rPr>
          <w:rFonts w:ascii="Georgia" w:cs="Georgia" w:eastAsia="Georgia" w:hAnsi="Georgia"/>
          <w:sz w:val="22"/>
          <w:szCs w:val="22"/>
        </w:rPr>
        <w:t xml:space="preserve">Evaluate the fiber bundle / connection candidate against all seven constraints systematically, with φ-work as holonomy vs. curvature (Gap 3)</w:t>
      </w:r>
    </w:p>
    <w:p>
      <w:pPr>
        <w:pStyle w:val="ListParagraph"/>
        <w:numPr>
          <w:ilvl w:val="0"/>
          <w:numId w:val="2"/>
        </w:numPr>
        <w:spacing w:after="40" w:before="40"/>
      </w:pPr>
      <w:r>
        <w:rPr>
          <w:rFonts w:ascii="Georgia" w:cs="Georgia" w:eastAsia="Georgia" w:hAnsi="Georgia"/>
          <w:sz w:val="22"/>
          <w:szCs w:val="22"/>
        </w:rPr>
        <w:t xml:space="preserve">Write the Loschmidt echo identification as a formal subsection of 2B, citing Gorin et al. as the echo-diagnostic standard reference</w:t>
      </w:r>
    </w:p>
    <w:p>
      <w:pPr>
        <w:pStyle w:val="ListParagraph"/>
        <w:numPr>
          <w:ilvl w:val="0"/>
          <w:numId w:val="2"/>
        </w:numPr>
        <w:spacing w:after="40" w:before="40"/>
      </w:pPr>
      <w:r>
        <w:rPr>
          <w:rFonts w:ascii="Georgia" w:cs="Georgia" w:eastAsia="Georgia" w:hAnsi="Georgia"/>
          <w:sz w:val="22"/>
          <w:szCs w:val="22"/>
        </w:rPr>
        <w:t xml:space="preserve">Use Ahmed et al. (2310.16289) as the bridge sentence between standard SG coherent-state language and CR coherence-structure language</w:t>
      </w:r>
    </w:p>
    <w:p>
      <w:pPr>
        <w:pStyle w:val="ListParagraph"/>
        <w:numPr>
          <w:ilvl w:val="0"/>
          <w:numId w:val="2"/>
        </w:numPr>
        <w:spacing w:after="40" w:before="40"/>
      </w:pPr>
      <w:r>
        <w:rPr>
          <w:rFonts w:ascii="Georgia" w:cs="Georgia" w:eastAsia="Georgia" w:hAnsi="Georgia"/>
          <w:sz w:val="22"/>
          <w:szCs w:val="22"/>
        </w:rPr>
        <w:t xml:space="preserve">Clarify Gap 2 language in text: McInnes &amp; Ong for "admissible subset exists" — then CR-specific contribution is "admissible subset = interior of TₘΣ"</w:t>
      </w:r>
    </w:p>
    <w:p>
      <w:pPr>
        <w:spacing w:after="60" w:before="60"/>
      </w:pPr>
      <w:r>
        <w:t xml:space="preserve"/>
      </w:r>
    </w:p>
    <w:p>
      <w:pPr>
        <w:pBdr>
          <w:top w:val="single" w:color="2E75B6" w:sz="4" w:space="4"/>
          <w:bottom w:val="single" w:color="2E75B6" w:sz="4" w:space="4"/>
        </w:pBdr>
        <w:shd w:fill="EDF3FB" w:val="clear"/>
        <w:spacing w:after="80" w:before="120"/>
      </w:pPr>
      <w:r>
        <w:rPr>
          <w:rFonts w:ascii="Arial" w:cs="Arial" w:eastAsia="Arial" w:hAnsi="Arial"/>
          <w:i/>
          <w:iCs/>
          <w:color w:val="1F3864"/>
          <w:sz w:val="20"/>
          <w:szCs w:val="20"/>
        </w:rPr>
        <w:t xml:space="preserve">Realistic status: Citation verification substantially complete. 10 of 12 proposed citations confirmed real via Perplexity abstract-matching or direct knowledge; 2 remain post-cutoff (2412.08402, 2511.01684). Four true literature gaps remain: bidirectionality, band = mediator interior, φ-work storage, and Born rule as basin geometry. These are expected — they are the novel core of CR and must be derived internally. No external paper covers TₘΣ as a single object unifying all four roles simultaneously; that remains the genuinely open space.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 Kaufman / CR Collaboration — April 19,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555"/>
        <w:sz w:val="18"/>
        <w:szCs w:val="18"/>
      </w:rPr>
      <w:t xml:space="preserve">Coherence Relativity — Paper 2: Related Work Skeleton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2026-04-19T10:40:04.523Z</dcterms:created>
  <dcterms:modified xsi:type="dcterms:W3CDTF">2026-04-19T10:40:04.524Z</dcterms:modified>
</cp:coreProperties>
</file>

<file path=docProps/custom.xml><?xml version="1.0" encoding="utf-8"?>
<Properties xmlns="http://schemas.openxmlformats.org/officeDocument/2006/custom-properties" xmlns:vt="http://schemas.openxmlformats.org/officeDocument/2006/docPropsVTypes"/>
</file>