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60"/>
        <w:jc w:val="center"/>
      </w:pPr>
      <w:r>
        <w:rPr>
          <w:rFonts w:ascii="Arial" w:cs="Arial" w:eastAsia="Arial" w:hAnsi="Arial"/>
          <w:b/>
          <w:bCs/>
          <w:color w:val="2E4057"/>
          <w:sz w:val="52"/>
          <w:szCs w:val="52"/>
        </w:rPr>
        <w:t xml:space="preserve">COHERENCE RELATIVITY</w:t>
      </w:r>
    </w:p>
    <w:p>
      <w:pPr>
        <w:spacing w:after="80"/>
        <w:jc w:val="center"/>
      </w:pPr>
      <w:r>
        <w:rPr>
          <w:rFonts w:ascii="Arial" w:cs="Arial" w:eastAsia="Arial" w:hAnsi="Arial"/>
          <w:color w:val="1A6B8A"/>
          <w:sz w:val="32"/>
          <w:szCs w:val="32"/>
        </w:rPr>
        <w:t xml:space="preserve">Session Record — TₘΣ Constraint Development</w:t>
      </w:r>
    </w:p>
    <w:p>
      <w:pPr>
        <w:spacing w:after="80"/>
        <w:jc w:val="center"/>
      </w:pPr>
      <w:r>
        <w:rPr>
          <w:rFonts w:ascii="Arial" w:cs="Arial" w:eastAsia="Arial" w:hAnsi="Arial"/>
          <w:color w:val="1A6B8A"/>
          <w:sz w:val="32"/>
          <w:szCs w:val="32"/>
        </w:rPr>
        <w:t xml:space="preserve">and Born Rule as Geometry</w:t>
      </w:r>
    </w:p>
    <w:p>
      <w:pPr>
        <w:spacing w:after="80"/>
      </w:pPr>
      <w:r>
        <w:t xml:space="preserve"/>
      </w:r>
    </w:p>
    <w:p>
      <w:pPr>
        <w:spacing w:after="80"/>
        <w:jc w:val="center"/>
      </w:pPr>
      <w:r>
        <w:rPr>
          <w:rFonts w:ascii="Arial" w:cs="Arial" w:eastAsia="Arial" w:hAnsi="Arial"/>
          <w:color w:val="666666"/>
          <w:sz w:val="24"/>
          <w:szCs w:val="24"/>
        </w:rPr>
        <w:t xml:space="preserve">19 April 2026</w:t>
      </w:r>
    </w:p>
    <w:p>
      <w:pPr>
        <w:spacing w:after="80"/>
        <w:jc w:val="center"/>
      </w:pPr>
      <w:r>
        <w:rPr>
          <w:rFonts w:ascii="Arial" w:cs="Arial" w:eastAsia="Arial" w:hAnsi="Arial"/>
          <w:color w:val="666666"/>
          <w:sz w:val="24"/>
          <w:szCs w:val="24"/>
        </w:rPr>
        <w:t xml:space="preserve">Bryan Kaufman &amp; Claude Sonnet 4.6</w:t>
      </w:r>
    </w:p>
    <w:p>
      <w:pPr>
        <w:spacing w:after="160"/>
      </w:pPr>
      <w:r>
        <w:t xml:space="preserve"/>
      </w:r>
    </w:p>
    <w:p>
      <w:pPr>
        <w:pBdr>
          <w:bottom w:val="single" w:color="2E4057" w:sz="6" w:space="1"/>
        </w:pBdr>
      </w:pPr>
    </w:p>
    <w:p>
      <w:pPr>
        <w:spacing w:after="80"/>
      </w:pPr>
      <w:r>
        <w:t xml:space="preserve"/>
      </w:r>
    </w:p>
    <w:p>
      <w:pPr>
        <w:spacing w:after="80"/>
        <w:jc w:val="center"/>
      </w:pPr>
      <w:r>
        <w:rPr>
          <w:rFonts w:ascii="Arial" w:cs="Arial" w:eastAsia="Arial" w:hAnsi="Arial"/>
          <w:i/>
          <w:iCs/>
          <w:color w:val="888888"/>
          <w:sz w:val="22"/>
          <w:szCs w:val="22"/>
        </w:rPr>
        <w:t xml:space="preserve">Contributing to Paper 2, Sections 2B and 2C</w:t>
      </w:r>
    </w:p>
    <w:p>
      <w:pPr>
        <w:spacing w:after="320"/>
      </w:pPr>
      <w:r>
        <w:t xml:space="preserve"/>
      </w:r>
    </w:p>
    <w:p>
      <w:pPr>
        <w:pStyle w:val="Heading1"/>
      </w:pPr>
      <w:r>
        <w:rPr>
          <w:rFonts w:ascii="Arial" w:cs="Arial" w:eastAsia="Arial" w:hAnsi="Arial"/>
          <w:b/>
          <w:bCs/>
          <w:color w:val="2E4057"/>
          <w:sz w:val="32"/>
          <w:szCs w:val="32"/>
        </w:rPr>
        <w:t xml:space="preserve">I. Foundational Logical Principle</w:t>
      </w:r>
    </w:p>
    <w:p>
      <w:pPr>
        <w:spacing w:after="120"/>
      </w:pPr>
      <w:r>
        <w:rPr>
          <w:rFonts w:ascii="Arial" w:cs="Arial" w:eastAsia="Arial" w:hAnsi="Arial"/>
          <w:sz w:val="22"/>
          <w:szCs w:val="22"/>
        </w:rPr>
        <w:t xml:space="preserve">This principle was articulated during the session and is proposed as the epistemological foundation of Paper 2, stated before the formalism:</w:t>
      </w:r>
    </w:p>
    <w:p>
      <w:pPr>
        <w:spacing w:after="80"/>
      </w:pPr>
      <w:r>
        <w:t xml:space="preserve"/>
      </w:r>
    </w:p>
    <w:p>
      <w:pPr>
        <w:pBdr>
          <w:left w:val="single" w:color="1A6B8A" w:sz="12" w:space="12"/>
        </w:pBdr>
        <w:spacing w:after="120"/>
        <w:ind w:left="720" w:right="720"/>
      </w:pPr>
      <w:r>
        <w:rPr>
          <w:rFonts w:ascii="Arial" w:cs="Arial" w:eastAsia="Arial" w:hAnsi="Arial"/>
          <w:i/>
          <w:iCs/>
          <w:sz w:val="22"/>
          <w:szCs w:val="22"/>
        </w:rPr>
        <w:t xml:space="preserve">A valid deduction requires that the criteria of inference and the objects of inference belong to the same frame of reference. What appears as paradox in quantum mechanics is the result of applying the criteria of one frame to the phenomena of another — a logical error, not a physical mystery. TₘΣ is the object that makes cross-frame inference logically valid.</w:t>
      </w:r>
    </w:p>
    <w:p>
      <w:pPr>
        <w:spacing w:after="80"/>
      </w:pPr>
      <w:r>
        <w:t xml:space="preserve"/>
      </w:r>
    </w:p>
    <w:p>
      <w:pPr>
        <w:spacing w:after="120"/>
      </w:pPr>
      <w:r>
        <w:rPr>
          <w:rFonts w:ascii="Arial" w:cs="Arial" w:eastAsia="Arial" w:hAnsi="Arial"/>
          <w:sz w:val="22"/>
          <w:szCs w:val="22"/>
        </w:rPr>
        <w:t xml:space="preserve">This principle extends Einstein's move in General Relativity — the abandonment of privileged frames — beyond physics. It applies wherever multiple frames of reference must coexist without loss of shared intelligibility. Contradictions in quantum mechanics (measurement problem, wave-particle duality, EPR non-locality) are not features of reality but logical errors arising from frame-category violations: applying the inference criteria of M to phenomena that properly belong to Σ, or vice versa.</w:t>
      </w:r>
    </w:p>
    <w:p>
      <w:pPr>
        <w:spacing w:after="120"/>
      </w:pPr>
      <w:r>
        <w:rPr>
          <w:rFonts w:ascii="Arial" w:cs="Arial" w:eastAsia="Arial" w:hAnsi="Arial"/>
          <w:sz w:val="22"/>
          <w:szCs w:val="22"/>
        </w:rPr>
        <w:t xml:space="preserve">TₘΣ is therefore not only a geometric mediator between M and Σ but a logical mediator — the object that makes cross-frame inference valid without committing category error.</w:t>
      </w:r>
    </w:p>
    <w:p>
      <w:pPr>
        <w:spacing w:after="80"/>
      </w:pPr>
      <w:r>
        <w:t xml:space="preserve"/>
      </w:r>
    </w:p>
    <w:p>
      <w:pPr>
        <w:pStyle w:val="Heading1"/>
      </w:pPr>
      <w:r>
        <w:rPr>
          <w:rFonts w:ascii="Arial" w:cs="Arial" w:eastAsia="Arial" w:hAnsi="Arial"/>
          <w:b/>
          <w:bCs/>
          <w:color w:val="2E4057"/>
          <w:sz w:val="32"/>
          <w:szCs w:val="32"/>
        </w:rPr>
        <w:t xml:space="preserve">II. TₘΣ Constraint List — Full Revised Set</w:t>
      </w:r>
    </w:p>
    <w:p>
      <w:pPr>
        <w:spacing w:after="120"/>
      </w:pPr>
      <w:r>
        <w:rPr>
          <w:rFonts w:ascii="Arial" w:cs="Arial" w:eastAsia="Arial" w:hAnsi="Arial"/>
          <w:sz w:val="22"/>
          <w:szCs w:val="22"/>
        </w:rPr>
        <w:t xml:space="preserve">The constraint list serves as the receptor-site characterisation for TₘΣ. The mathematical form of TₘΣ must be derivable from these constraints in the same way that Dirac's equation was derivable from the constraints he imposed on a relativistic wave equation. Constraints are listed as necessary conditions; together they are hypothesised to be sufficient to narrow TₘΣ to a candidate family of mathematical objects.</w:t>
      </w:r>
    </w:p>
    <w:p>
      <w:pPr>
        <w:spacing w:after="80"/>
      </w:pPr>
      <w:r>
        <w:t xml:space="preserve"/>
      </w:r>
    </w:p>
    <w:p>
      <w:pPr>
        <w:pStyle w:val="Heading2"/>
      </w:pPr>
      <w:r>
        <w:rPr>
          <w:rFonts w:ascii="Arial" w:cs="Arial" w:eastAsia="Arial" w:hAnsi="Arial"/>
          <w:b/>
          <w:bCs/>
          <w:color w:val="1A6B8A"/>
          <w:sz w:val="26"/>
          <w:szCs w:val="26"/>
        </w:rPr>
        <w:t xml:space="preserve">Constraints Carried Forward from Prior Sessions</w:t>
      </w:r>
    </w:p>
    <w:p>
      <w:pPr>
        <w:pStyle w:val="ListParagraph"/>
        <w:numPr>
          <w:ilvl w:val="0"/>
          <w:numId w:val="2"/>
        </w:numPr>
        <w:spacing w:after="80"/>
      </w:pPr>
      <w:r>
        <w:rPr>
          <w:rFonts w:ascii="Arial" w:cs="Arial" w:eastAsia="Arial" w:hAnsi="Arial"/>
          <w:sz w:val="22"/>
          <w:szCs w:val="22"/>
        </w:rPr>
        <w:t xml:space="preserve">Limiting behavior in both directions: in the decoherent limit TₘΣ reduces to recognisable classical geometry on M; in the maximal coherence limit it reduces to well-defined structure on Σ alone.</w:t>
      </w:r>
    </w:p>
    <w:p>
      <w:pPr>
        <w:pStyle w:val="ListParagraph"/>
        <w:numPr>
          <w:ilvl w:val="0"/>
          <w:numId w:val="2"/>
        </w:numPr>
        <w:spacing w:after="80"/>
      </w:pPr>
      <w:r>
        <w:rPr>
          <w:rFonts w:ascii="Arial" w:cs="Arial" w:eastAsia="Arial" w:hAnsi="Arial"/>
          <w:sz w:val="22"/>
          <w:szCs w:val="22"/>
        </w:rPr>
        <w:t xml:space="preserve">Diffeomorphism invariance on M: TₘΣ must transform as a tensor under smooth coordinate transformations of M.</w:t>
      </w:r>
    </w:p>
    <w:p>
      <w:pPr>
        <w:pStyle w:val="ListParagraph"/>
        <w:numPr>
          <w:ilvl w:val="0"/>
          <w:numId w:val="2"/>
        </w:numPr>
        <w:spacing w:after="80"/>
      </w:pPr>
      <w:r>
        <w:rPr>
          <w:rFonts w:ascii="Arial" w:cs="Arial" w:eastAsia="Arial" w:hAnsi="Arial"/>
          <w:sz w:val="22"/>
          <w:szCs w:val="22"/>
        </w:rPr>
        <w:t xml:space="preserve">Natural symmetries of Σ: TₘΣ must respect the symmetries Σ carries (at minimum U(1) phase invariance).</w:t>
      </w:r>
    </w:p>
    <w:p>
      <w:pPr>
        <w:pStyle w:val="ListParagraph"/>
        <w:numPr>
          <w:ilvl w:val="0"/>
          <w:numId w:val="2"/>
        </w:numPr>
        <w:spacing w:after="80"/>
      </w:pPr>
      <w:r>
        <w:rPr>
          <w:rFonts w:ascii="Arial" w:cs="Arial" w:eastAsia="Arial" w:hAnsi="Arial"/>
          <w:sz w:val="22"/>
          <w:szCs w:val="22"/>
        </w:rPr>
        <w:t xml:space="preserve">Self-consistency fixed-point condition: the M and Σ generated by TₘΣ must be compatible with the TₘΣ that generated them. No inconsistent solutions survive.</w:t>
      </w:r>
    </w:p>
    <w:p>
      <w:pPr>
        <w:pStyle w:val="ListParagraph"/>
        <w:numPr>
          <w:ilvl w:val="0"/>
          <w:numId w:val="2"/>
        </w:numPr>
        <w:spacing w:after="80"/>
      </w:pPr>
      <w:r>
        <w:rPr>
          <w:rFonts w:ascii="Arial" w:cs="Arial" w:eastAsia="Arial" w:hAnsi="Arial"/>
          <w:sz w:val="22"/>
          <w:szCs w:val="22"/>
        </w:rPr>
        <w:t xml:space="preserve">Information conservation: TₘΣ must not destroy information at the frame boundary.</w:t>
      </w:r>
    </w:p>
    <w:p>
      <w:pPr>
        <w:pStyle w:val="ListParagraph"/>
        <w:numPr>
          <w:ilvl w:val="0"/>
          <w:numId w:val="2"/>
        </w:numPr>
        <w:spacing w:after="80"/>
      </w:pPr>
      <w:r>
        <w:rPr>
          <w:rFonts w:ascii="Arial" w:cs="Arial" w:eastAsia="Arial" w:hAnsi="Arial"/>
          <w:sz w:val="22"/>
          <w:szCs w:val="22"/>
        </w:rPr>
        <w:t xml:space="preserve">Causal structure preservation: TₘΣ must not permit signalling or violations of causal order.</w:t>
      </w:r>
    </w:p>
    <w:p>
      <w:pPr>
        <w:spacing w:after="80"/>
      </w:pPr>
      <w:r>
        <w:t xml:space="preserve"/>
      </w:r>
    </w:p>
    <w:p>
      <w:pPr>
        <w:pStyle w:val="Heading2"/>
      </w:pPr>
      <w:r>
        <w:rPr>
          <w:rFonts w:ascii="Arial" w:cs="Arial" w:eastAsia="Arial" w:hAnsi="Arial"/>
          <w:b/>
          <w:bCs/>
          <w:color w:val="1A6B8A"/>
          <w:sz w:val="26"/>
          <w:szCs w:val="26"/>
        </w:rPr>
        <w:t xml:space="preserve">Constraints Added in This Session</w:t>
      </w:r>
    </w:p>
    <w:p>
      <w:pPr>
        <w:pStyle w:val="Heading3"/>
      </w:pPr>
      <w:r>
        <w:rPr>
          <w:rFonts w:ascii="Arial" w:cs="Arial" w:eastAsia="Arial" w:hAnsi="Arial"/>
          <w:b/>
          <w:bCs/>
          <w:color w:val="2E4057"/>
          <w:sz w:val="24"/>
          <w:szCs w:val="24"/>
        </w:rPr>
        <w:t xml:space="preserve">Depth equals band</w:t>
      </w:r>
    </w:p>
    <w:p>
      <w:pPr>
        <w:spacing w:after="120"/>
      </w:pPr>
      <w:r>
        <w:rPr>
          <w:rFonts w:ascii="Arial" w:cs="Arial" w:eastAsia="Arial" w:hAnsi="Arial"/>
          <w:sz w:val="22"/>
          <w:szCs w:val="22"/>
        </w:rPr>
        <w:t xml:space="preserve">The 'depth' of TₘΣ is not a separate structural feature but is identical to the admissibility band. The M-facing boundary of TₘΣ is where coherence approaches zero (full decoherence into M). The Σ-facing boundary is where coherence is maximal. The interior extent between those boundaries IS the depth. This collapses two previously separate constraints into one, which is a signal of the correct description.</w:t>
      </w:r>
    </w:p>
    <w:p>
      <w:pPr>
        <w:spacing w:after="80"/>
      </w:pPr>
      <w:r>
        <w:t xml:space="preserve"/>
      </w:r>
    </w:p>
    <w:p>
      <w:pPr>
        <w:pStyle w:val="Heading3"/>
      </w:pPr>
      <w:r>
        <w:rPr>
          <w:rFonts w:ascii="Arial" w:cs="Arial" w:eastAsia="Arial" w:hAnsi="Arial"/>
          <w:b/>
          <w:bCs/>
          <w:color w:val="2E4057"/>
          <w:sz w:val="24"/>
          <w:szCs w:val="24"/>
        </w:rPr>
        <w:t xml:space="preserve">Transition is not binary</w:t>
      </w:r>
    </w:p>
    <w:p>
      <w:pPr>
        <w:spacing w:after="120"/>
      </w:pPr>
      <w:r>
        <w:rPr>
          <w:rFonts w:ascii="Arial" w:cs="Arial" w:eastAsia="Arial" w:hAnsi="Arial"/>
          <w:sz w:val="22"/>
          <w:szCs w:val="22"/>
        </w:rPr>
        <w:t xml:space="preserve">TₘΣ must support partially-localised intermediate states at all depths within the band. The coherence → pointer transition can arrest at any point. Most transitions do not complete. This is the sprite-family picture: diffuse canopy (coherent state) descends through the intermediate zone (TₘΣ / band) into localised tendrils (proto-pointer states approaching M). Only under threshold conditions does the transition complete.</w:t>
      </w:r>
    </w:p>
    <w:p>
      <w:pPr>
        <w:spacing w:after="80"/>
      </w:pPr>
      <w:r>
        <w:t xml:space="preserve"/>
      </w:r>
    </w:p>
    <w:p>
      <w:pPr>
        <w:pStyle w:val="Heading3"/>
      </w:pPr>
      <w:r>
        <w:rPr>
          <w:rFonts w:ascii="Arial" w:cs="Arial" w:eastAsia="Arial" w:hAnsi="Arial"/>
          <w:b/>
          <w:bCs/>
          <w:color w:val="2E4057"/>
          <w:sz w:val="24"/>
          <w:szCs w:val="24"/>
        </w:rPr>
        <w:t xml:space="preserve">Both components of Σ engaged</w:t>
      </w:r>
    </w:p>
    <w:p>
      <w:pPr>
        <w:spacing w:after="120"/>
      </w:pPr>
      <w:r>
        <w:rPr>
          <w:rFonts w:ascii="Arial" w:cs="Arial" w:eastAsia="Arial" w:hAnsi="Arial"/>
          <w:sz w:val="22"/>
          <w:szCs w:val="22"/>
        </w:rPr>
        <w:t xml:space="preserve">TₘΣ must couple to both angular components of Σ (the Bloch sphere). The θ-direction is the transition direction (coherence → pointer). The φ-direction stores work during the transition. In Type 1 (arrested/recoverable) transitions, the φ-work is preserved and can be retrieved. In Type 2 (partially irreversible) transitions, the φ-work is discharged through TₘΣ into M. TₘΣ must carry complex-valued structure; it cannot be purely real.</w:t>
      </w:r>
    </w:p>
    <w:p>
      <w:pPr>
        <w:spacing w:after="80"/>
      </w:pPr>
      <w:r>
        <w:t xml:space="preserve"/>
      </w:r>
    </w:p>
    <w:p>
      <w:pPr>
        <w:pStyle w:val="Heading3"/>
      </w:pPr>
      <w:r>
        <w:rPr>
          <w:rFonts w:ascii="Arial" w:cs="Arial" w:eastAsia="Arial" w:hAnsi="Arial"/>
          <w:b/>
          <w:bCs/>
          <w:color w:val="2E4057"/>
          <w:sz w:val="24"/>
          <w:szCs w:val="24"/>
        </w:rPr>
        <w:t xml:space="preserve">Threshold as bifurcation</w:t>
      </w:r>
    </w:p>
    <w:p>
      <w:pPr>
        <w:spacing w:after="120"/>
      </w:pPr>
      <w:r>
        <w:rPr>
          <w:rFonts w:ascii="Arial" w:cs="Arial" w:eastAsia="Arial" w:hAnsi="Arial"/>
          <w:sz w:val="22"/>
          <w:szCs w:val="22"/>
        </w:rPr>
        <w:t xml:space="preserve">Completion of the transition through TₘΣ requires crossing a bifurcation point, not a smooth gradient. Below threshold, the fixed point of TₘΣ lies within the band. Above threshold, the fixed point shifts to M. Empirical support: the quantum dot coherence jump at 2–3 T in solid-state spin systems is the experimental signature of this regime change.</w:t>
      </w:r>
    </w:p>
    <w:p>
      <w:pPr>
        <w:spacing w:after="80"/>
      </w:pPr>
      <w:r>
        <w:t xml:space="preserve"/>
      </w:r>
    </w:p>
    <w:p>
      <w:pPr>
        <w:pStyle w:val="Heading3"/>
      </w:pPr>
      <w:r>
        <w:rPr>
          <w:rFonts w:ascii="Arial" w:cs="Arial" w:eastAsia="Arial" w:hAnsi="Arial"/>
          <w:b/>
          <w:bCs/>
          <w:color w:val="2E4057"/>
          <w:sz w:val="24"/>
          <w:szCs w:val="24"/>
        </w:rPr>
        <w:t xml:space="preserve">Non-uniqueness of pointer states</w:t>
      </w:r>
    </w:p>
    <w:p>
      <w:pPr>
        <w:spacing w:after="120"/>
      </w:pPr>
      <w:r>
        <w:rPr>
          <w:rFonts w:ascii="Arial" w:cs="Arial" w:eastAsia="Arial" w:hAnsi="Arial"/>
          <w:sz w:val="22"/>
          <w:szCs w:val="22"/>
        </w:rPr>
        <w:t xml:space="preserve">TₘΣ must not enforce a unique pointer state. Multiple simultaneous localisations from a single coherent background are permitted. TₘΣ is not a rank-1 projector. This is the multiple-sprite picture: several independent transitions can occur from the same extended coherent state.</w:t>
      </w:r>
    </w:p>
    <w:p>
      <w:pPr>
        <w:spacing w:after="80"/>
      </w:pPr>
      <w:r>
        <w:t xml:space="preserve"/>
      </w:r>
    </w:p>
    <w:p>
      <w:pPr>
        <w:pStyle w:val="Heading3"/>
      </w:pPr>
      <w:r>
        <w:rPr>
          <w:rFonts w:ascii="Arial" w:cs="Arial" w:eastAsia="Arial" w:hAnsi="Arial"/>
          <w:b/>
          <w:bCs/>
          <w:color w:val="2E4057"/>
          <w:sz w:val="24"/>
          <w:szCs w:val="24"/>
        </w:rPr>
        <w:t xml:space="preserve">Coupling asymmetry is frame-dependent</w:t>
      </w:r>
    </w:p>
    <w:p>
      <w:pPr>
        <w:spacing w:after="120"/>
      </w:pPr>
      <w:r>
        <w:rPr>
          <w:rFonts w:ascii="Arial" w:cs="Arial" w:eastAsia="Arial" w:hAnsi="Arial"/>
          <w:sz w:val="22"/>
          <w:szCs w:val="22"/>
        </w:rPr>
        <w:t xml:space="preserve">The apparent dominance of M over Σ (M influencing Σ more than the reverse) reflects the observer's position relative to TₘΣ, not a fundamental asymmetry. This is the Le Châtelier analogy: the direction of apparent influence depends on which side of the equilibrium the perturbation originates. TₘΣ must be formulated so this asymmetry is frame-dependent, not intrinsic.</w:t>
      </w:r>
    </w:p>
    <w:p>
      <w:pPr>
        <w:spacing w:after="80"/>
      </w:pPr>
      <w:r>
        <w:t xml:space="preserve"/>
      </w:r>
    </w:p>
    <w:p>
      <w:pPr>
        <w:pStyle w:val="Heading3"/>
      </w:pPr>
      <w:r>
        <w:rPr>
          <w:rFonts w:ascii="Arial" w:cs="Arial" w:eastAsia="Arial" w:hAnsi="Arial"/>
          <w:b/>
          <w:bCs/>
          <w:color w:val="2E4057"/>
          <w:sz w:val="24"/>
          <w:szCs w:val="24"/>
        </w:rPr>
        <w:t xml:space="preserve">Admissibility band</w:t>
      </w:r>
    </w:p>
    <w:p>
      <w:pPr>
        <w:spacing w:after="120"/>
      </w:pPr>
      <w:r>
        <w:rPr>
          <w:rFonts w:ascii="Arial" w:cs="Arial" w:eastAsia="Arial" w:hAnsi="Arial"/>
          <w:sz w:val="22"/>
          <w:szCs w:val="22"/>
        </w:rPr>
        <w:t xml:space="preserve">The existence of TₘΣ as a self-consistent object IS the admissibility condition. Configurations that are too purely geometric (D → 0) or too purely coherent (D → Dₘₐˣ) correspond to the boundaries where TₘΣ ceases to exist as a consistent solution. This connects to Sahely's conceptual framework (see References) but is now grounded in the mathematical structure of the fixed-point equation rather than postulated as a separate condition.</w:t>
      </w:r>
    </w:p>
    <w:p>
      <w:pPr>
        <w:spacing w:after="80"/>
      </w:pPr>
      <w:r>
        <w:t xml:space="preserve"/>
      </w:r>
    </w:p>
    <w:p>
      <w:pPr>
        <w:pStyle w:val="Heading1"/>
      </w:pPr>
      <w:r>
        <w:rPr>
          <w:rFonts w:ascii="Arial" w:cs="Arial" w:eastAsia="Arial" w:hAnsi="Arial"/>
          <w:b/>
          <w:bCs/>
          <w:color w:val="2E4057"/>
          <w:sz w:val="32"/>
          <w:szCs w:val="32"/>
        </w:rPr>
        <w:t xml:space="preserve">III. The Sprite/TLE Picture of TₘΣ</w:t>
      </w:r>
    </w:p>
    <w:p>
      <w:pPr>
        <w:spacing w:after="120"/>
      </w:pPr>
      <w:r>
        <w:rPr>
          <w:rFonts w:ascii="Arial" w:cs="Arial" w:eastAsia="Arial" w:hAnsi="Arial"/>
          <w:sz w:val="22"/>
          <w:szCs w:val="22"/>
        </w:rPr>
        <w:t xml:space="preserve">The morphology of the coherence → pointer transition was established by analogy with the Transient Luminous Event (TLE) family, specifically the sprite cluster and the Gigantic Jet.</w:t>
      </w:r>
    </w:p>
    <w:p>
      <w:pPr>
        <w:spacing w:after="80"/>
      </w:pPr>
      <w:r>
        <w:t xml:space="preserve"/>
      </w:r>
    </w:p>
    <w:p>
      <w:pPr>
        <w:spacing w:after="120"/>
      </w:pPr>
      <w:r>
        <w:rPr>
          <w:rFonts w:ascii="Arial" w:cs="Arial" w:eastAsia="Arial" w:hAnsi="Arial"/>
          <w:b/>
          <w:bCs/>
          <w:sz w:val="22"/>
          <w:szCs w:val="22"/>
        </w:rPr>
        <w:t xml:space="preserve">Structural mapping: </w:t>
      </w:r>
      <w:r>
        <w:rPr>
          <w:rFonts w:ascii="Arial" w:cs="Arial" w:eastAsia="Arial" w:hAnsi="Arial"/>
          <w:sz w:val="22"/>
          <w:szCs w:val="22"/>
        </w:rPr>
        <w:t xml:space="preserve">Ionosphere (diffuse, extended, highly coupled) ≈ Σ (coherent state space). Cloud deck (intermediate layer, neither domain) ≈ TₘΣ (the band). Troposphere (dense, localised, classical) ≈ M. The sprite family (diffuse cap descending into filamentary tendrils) is the coherence → pointer transition in progress within the band.</w:t>
      </w:r>
    </w:p>
    <w:p>
      <w:pPr>
        <w:spacing w:after="80"/>
      </w:pPr>
      <w:r>
        <w:t xml:space="preserve"/>
      </w:r>
    </w:p>
    <w:p>
      <w:pPr>
        <w:spacing w:after="120"/>
      </w:pPr>
      <w:r>
        <w:rPr>
          <w:rFonts w:ascii="Arial" w:cs="Arial" w:eastAsia="Arial" w:hAnsi="Arial"/>
          <w:b/>
          <w:bCs/>
          <w:sz w:val="22"/>
          <w:szCs w:val="22"/>
        </w:rPr>
        <w:t xml:space="preserve">The Gigantic Jet: </w:t>
      </w:r>
      <w:r>
        <w:rPr>
          <w:rFonts w:ascii="Arial" w:cs="Arial" w:eastAsia="Arial" w:hAnsi="Arial"/>
          <w:sz w:val="22"/>
          <w:szCs w:val="22"/>
        </w:rPr>
        <w:t xml:space="preserve">The rare event in which a discharge completes the connection from the ionosphere to the cloud deck corresponds to the threshold bifurcation condition — the transition completing all the way through TₘΣ to M. Pointer state formation is irreversible above this threshold. Most transitions arrest within the band.</w:t>
      </w:r>
    </w:p>
    <w:p>
      <w:pPr>
        <w:spacing w:after="80"/>
      </w:pPr>
      <w:r>
        <w:t xml:space="preserve"/>
      </w:r>
    </w:p>
    <w:p>
      <w:pPr>
        <w:spacing w:after="120"/>
      </w:pPr>
      <w:r>
        <w:rPr>
          <w:rFonts w:ascii="Arial" w:cs="Arial" w:eastAsia="Arial" w:hAnsi="Arial"/>
          <w:b/>
          <w:bCs/>
          <w:sz w:val="22"/>
          <w:szCs w:val="22"/>
        </w:rPr>
        <w:t xml:space="preserve">Field-induced coupling: </w:t>
      </w:r>
      <w:r>
        <w:rPr>
          <w:rFonts w:ascii="Arial" w:cs="Arial" w:eastAsia="Arial" w:hAnsi="Arial"/>
          <w:sz w:val="22"/>
          <w:szCs w:val="22"/>
        </w:rPr>
        <w:t xml:space="preserve">Sprites are caused by field effects across the intermediate zone, not direct contact. M influences Σ through TₘΣ predominantly by field induction, not by direct coupling. This is consistent with the frame-dependence of the apparent asymmetry.</w:t>
      </w:r>
    </w:p>
    <w:p>
      <w:pPr>
        <w:spacing w:after="120"/>
      </w:pPr>
      <w:r>
        <w:rPr>
          <w:rFonts w:ascii="Arial" w:cs="Arial" w:eastAsia="Arial" w:hAnsi="Arial"/>
          <w:sz w:val="22"/>
          <w:szCs w:val="22"/>
        </w:rPr>
        <w:t xml:space="preserve">This analogy is not merely illustrative. It specifies the geometric and topological requirements on TₘΣ: internal structure with gradient from Σ-facing to M-facing boundary; support for partial/arrested states; field-mediated coupling; and threshold-dependent completion.</w:t>
      </w:r>
    </w:p>
    <w:p>
      <w:pPr>
        <w:spacing w:after="80"/>
      </w:pPr>
      <w:r>
        <w:t xml:space="preserve"/>
      </w:r>
    </w:p>
    <w:p>
      <w:pPr>
        <w:pStyle w:val="Heading1"/>
      </w:pPr>
      <w:r>
        <w:rPr>
          <w:rFonts w:ascii="Arial" w:cs="Arial" w:eastAsia="Arial" w:hAnsi="Arial"/>
          <w:b/>
          <w:bCs/>
          <w:color w:val="2E4057"/>
          <w:sz w:val="32"/>
          <w:szCs w:val="32"/>
        </w:rPr>
        <w:t xml:space="preserve">IV. The Loschmidt Echo Connection</w:t>
      </w:r>
    </w:p>
    <w:p>
      <w:pPr>
        <w:spacing w:after="120"/>
      </w:pPr>
      <w:r>
        <w:rPr>
          <w:rFonts w:ascii="Arial" w:cs="Arial" w:eastAsia="Arial" w:hAnsi="Arial"/>
          <w:sz w:val="22"/>
          <w:szCs w:val="22"/>
        </w:rPr>
        <w:t xml:space="preserve">The fidelity amplitude from echo dynamics literature:</w:t>
      </w:r>
    </w:p>
    <w:p>
      <w:pPr>
        <w:spacing w:after="80"/>
      </w:pPr>
      <w:r>
        <w:t xml:space="preserve"/>
      </w:r>
    </w:p>
    <w:p>
      <w:pPr>
        <w:spacing w:after="120"/>
        <w:jc w:val="center"/>
      </w:pPr>
      <w:r>
        <w:rPr>
          <w:rFonts w:ascii="Arial" w:cs="Arial" w:eastAsia="Arial" w:hAnsi="Arial"/>
          <w:b/>
          <w:bCs/>
          <w:sz w:val="24"/>
          <w:szCs w:val="24"/>
        </w:rPr>
        <w:t xml:space="preserve">f(t) = ⟨ψ| U†(t) U'(t) |ψ⟩</w:t>
      </w:r>
    </w:p>
    <w:p>
      <w:pPr>
        <w:spacing w:after="80"/>
      </w:pPr>
      <w:r>
        <w:t xml:space="preserve"/>
      </w:r>
    </w:p>
    <w:p>
      <w:pPr>
        <w:spacing w:after="120"/>
      </w:pPr>
      <w:r>
        <w:rPr>
          <w:rFonts w:ascii="Arial" w:cs="Arial" w:eastAsia="Arial" w:hAnsi="Arial"/>
          <w:sz w:val="22"/>
          <w:szCs w:val="22"/>
        </w:rPr>
        <w:t xml:space="preserve">is identified as the observable corresponding to TₘΣ behavior during a transition. Its magnitude |f(t)|² encodes the degree of completion of the transition. Its phase encodes the type of transition:</w:t>
      </w:r>
    </w:p>
    <w:p>
      <w:pPr>
        <w:spacing w:after="80"/>
      </w:pPr>
      <w:r>
        <w:t xml:space="preserve"/>
      </w:r>
    </w:p>
    <w:p>
      <w:pPr>
        <w:spacing w:after="120"/>
      </w:pPr>
      <w:r>
        <w:rPr>
          <w:rFonts w:ascii="Arial" w:cs="Arial" w:eastAsia="Arial" w:hAnsi="Arial"/>
          <w:b/>
          <w:bCs/>
          <w:sz w:val="22"/>
          <w:szCs w:val="22"/>
        </w:rPr>
        <w:t xml:space="preserve">Type 1 (arrested/recoverable): </w:t>
      </w:r>
      <w:r>
        <w:rPr>
          <w:rFonts w:ascii="Arial" w:cs="Arial" w:eastAsia="Arial" w:hAnsi="Arial"/>
          <w:sz w:val="22"/>
          <w:szCs w:val="22"/>
        </w:rPr>
        <w:t xml:space="preserve">High |f(t)|, correct phase restored. The transition arrested within TₘΣ. The φ-work is recoverable. Corresponds to T2* dephasing in MRI/NMR — field inhomogeneity-driven dephasing that can be fully refocused by a 180° pulse. The original phase configuration is restored.</w:t>
      </w:r>
    </w:p>
    <w:p>
      <w:pPr>
        <w:spacing w:after="80"/>
      </w:pPr>
      <w:r>
        <w:t xml:space="preserve"/>
      </w:r>
    </w:p>
    <w:p>
      <w:pPr>
        <w:spacing w:after="120"/>
      </w:pPr>
      <w:r>
        <w:rPr>
          <w:rFonts w:ascii="Arial" w:cs="Arial" w:eastAsia="Arial" w:hAnsi="Arial"/>
          <w:b/>
          <w:bCs/>
          <w:sz w:val="22"/>
          <w:szCs w:val="22"/>
        </w:rPr>
        <w:t xml:space="preserve">Type 2 (partially irreversible): </w:t>
      </w:r>
      <w:r>
        <w:rPr>
          <w:rFonts w:ascii="Arial" w:cs="Arial" w:eastAsia="Arial" w:hAnsi="Arial"/>
          <w:sz w:val="22"/>
          <w:szCs w:val="22"/>
        </w:rPr>
        <w:t xml:space="preserve">Reduced |f(t)|, phase not restored. The transition completed partway through TₘΣ irreversibly. The φ-work was discharged into M. Corresponds to T2 relaxation — irreversible environmental entanglement that the 180° pulse cannot recover.</w:t>
      </w:r>
    </w:p>
    <w:p>
      <w:pPr>
        <w:spacing w:after="80"/>
      </w:pPr>
      <w:r>
        <w:t xml:space="preserve"/>
      </w:r>
    </w:p>
    <w:p>
      <w:pPr>
        <w:spacing w:after="120"/>
      </w:pPr>
      <w:r>
        <w:rPr>
          <w:rFonts w:ascii="Arial" w:cs="Arial" w:eastAsia="Arial" w:hAnsi="Arial"/>
          <w:sz w:val="22"/>
          <w:szCs w:val="22"/>
        </w:rPr>
        <w:t xml:space="preserve">The threshold between Type 1 and Type 2 behavior is not a smooth exponential function of decoherence strength. It exhibits regime-change behavior, as observed in quantum dot coherence experiments (coherence jump at 2–3 T), consistent with the bifurcation condition in the constraint list.</w:t>
      </w:r>
    </w:p>
    <w:p>
      <w:pPr>
        <w:spacing w:after="80"/>
      </w:pPr>
      <w:r>
        <w:t xml:space="preserve"/>
      </w:r>
    </w:p>
    <w:p>
      <w:pPr>
        <w:spacing w:after="120"/>
      </w:pPr>
      <w:r>
        <w:rPr>
          <w:rFonts w:ascii="Arial" w:cs="Arial" w:eastAsia="Arial" w:hAnsi="Arial"/>
          <w:sz w:val="22"/>
          <w:szCs w:val="22"/>
        </w:rPr>
        <w:t xml:space="preserve">The MRI spin-echo system is identified as a bench-test platform for the Type 1 / Type 2 distinction. Phase-sensitive MRI sequences can directly observe whether the original phase configuration is restored, providing an operational test of whether a transition arrested within TₘΣ (Type 1) or partially completed irreversibly (Type 2).</w:t>
      </w:r>
    </w:p>
    <w:p>
      <w:pPr>
        <w:spacing w:after="80"/>
      </w:pPr>
      <w:r>
        <w:t xml:space="preserve"/>
      </w:r>
    </w:p>
    <w:p>
      <w:pPr>
        <w:spacing w:after="120"/>
      </w:pPr>
      <w:r>
        <w:rPr>
          <w:rFonts w:ascii="Arial" w:cs="Arial" w:eastAsia="Arial" w:hAnsi="Arial"/>
          <w:b/>
          <w:bCs/>
          <w:sz w:val="22"/>
          <w:szCs w:val="22"/>
        </w:rPr>
        <w:t xml:space="preserve">✅ VERIFIED: </w:t>
      </w:r>
      <w:r>
        <w:rPr>
          <w:rFonts w:ascii="Arial" w:cs="Arial" w:eastAsia="Arial" w:hAnsi="Arial"/>
          <w:sz w:val="22"/>
          <w:szCs w:val="22"/>
        </w:rPr>
        <w:t xml:space="preserve">Type 1 / Type 2 decoherence distinction is real and experimentally accessible in solid-state NMR and spin qubit systems.</w:t>
      </w:r>
    </w:p>
    <w:p>
      <w:pPr>
        <w:spacing w:after="120"/>
      </w:pPr>
      <w:r>
        <w:rPr>
          <w:rFonts w:ascii="Arial" w:cs="Arial" w:eastAsia="Arial" w:hAnsi="Arial"/>
          <w:b/>
          <w:bCs/>
          <w:sz w:val="22"/>
          <w:szCs w:val="22"/>
        </w:rPr>
        <w:t xml:space="preserve">✅ VERIFIED: </w:t>
      </w:r>
      <w:r>
        <w:rPr>
          <w:rFonts w:ascii="Arial" w:cs="Arial" w:eastAsia="Arial" w:hAnsi="Arial"/>
          <w:sz w:val="22"/>
          <w:szCs w:val="22"/>
        </w:rPr>
        <w:t xml:space="preserve">Phase of the recovered state (fidelity amplitude) is used theoretically and experimentally as a reversibility diagnostic in echo dynamics.</w:t>
      </w:r>
    </w:p>
    <w:p>
      <w:pPr>
        <w:spacing w:after="120"/>
      </w:pPr>
      <w:r>
        <w:rPr>
          <w:rFonts w:ascii="Arial" w:cs="Arial" w:eastAsia="Arial" w:hAnsi="Arial"/>
          <w:b/>
          <w:bCs/>
          <w:sz w:val="22"/>
          <w:szCs w:val="22"/>
        </w:rPr>
        <w:t xml:space="preserve">✅ VERIFIED: </w:t>
      </w:r>
      <w:r>
        <w:rPr>
          <w:rFonts w:ascii="Arial" w:cs="Arial" w:eastAsia="Arial" w:hAnsi="Arial"/>
          <w:sz w:val="22"/>
          <w:szCs w:val="22"/>
        </w:rPr>
        <w:t xml:space="preserve">Threshold-like regime changes in decoherence recoverability exist in solid-state spin systems.</w:t>
      </w:r>
    </w:p>
    <w:p>
      <w:pPr>
        <w:spacing w:after="120"/>
      </w:pPr>
      <w:r>
        <w:rPr>
          <w:rFonts w:ascii="Arial" w:cs="Arial" w:eastAsia="Arial" w:hAnsi="Arial"/>
          <w:b/>
          <w:bCs/>
          <w:sz w:val="22"/>
          <w:szCs w:val="22"/>
        </w:rPr>
        <w:t xml:space="preserve">⚠️ UNTESTED: </w:t>
      </w:r>
      <w:r>
        <w:rPr>
          <w:rFonts w:ascii="Arial" w:cs="Arial" w:eastAsia="Arial" w:hAnsi="Arial"/>
          <w:sz w:val="22"/>
          <w:szCs w:val="22"/>
        </w:rPr>
        <w:t xml:space="preserve">Explicit connection between fidelity amplitude decay and TₘΣ as the mediating geometric object.</w:t>
      </w:r>
    </w:p>
    <w:p>
      <w:pPr>
        <w:spacing w:after="80"/>
      </w:pPr>
      <w:r>
        <w:t xml:space="preserve"/>
      </w:r>
    </w:p>
    <w:p>
      <w:pPr>
        <w:pStyle w:val="Heading1"/>
      </w:pPr>
      <w:r>
        <w:rPr>
          <w:rFonts w:ascii="Arial" w:cs="Arial" w:eastAsia="Arial" w:hAnsi="Arial"/>
          <w:b/>
          <w:bCs/>
          <w:color w:val="2E4057"/>
          <w:sz w:val="32"/>
          <w:szCs w:val="32"/>
        </w:rPr>
        <w:t xml:space="preserve">V. The Born Rule as Geometry</w:t>
      </w:r>
    </w:p>
    <w:p>
      <w:pPr>
        <w:spacing w:after="120"/>
      </w:pPr>
      <w:r>
        <w:rPr>
          <w:rFonts w:ascii="Arial" w:cs="Arial" w:eastAsia="Arial" w:hAnsi="Arial"/>
          <w:sz w:val="22"/>
          <w:szCs w:val="22"/>
        </w:rPr>
        <w:t xml:space="preserve">This is identified as one of the central results of Paper 2.</w:t>
      </w:r>
    </w:p>
    <w:p>
      <w:pPr>
        <w:spacing w:after="80"/>
      </w:pPr>
      <w:r>
        <w:t xml:space="preserve"/>
      </w:r>
    </w:p>
    <w:p>
      <w:pPr>
        <w:pBdr>
          <w:left w:val="single" w:color="1A6B8A" w:sz="12" w:space="12"/>
        </w:pBdr>
        <w:spacing w:after="120"/>
        <w:ind w:left="720" w:right="720"/>
      </w:pPr>
      <w:r>
        <w:rPr>
          <w:rFonts w:ascii="Arial" w:cs="Arial" w:eastAsia="Arial" w:hAnsi="Arial"/>
          <w:i/>
          <w:iCs/>
          <w:sz w:val="22"/>
          <w:szCs w:val="22"/>
        </w:rPr>
        <w:t xml:space="preserve">Born probabilities |⟨ψ|φᵢ⟩|² are not axioms but geometric consequences of TₘΣ structure. Each pointer state φᵢ corresponds to a projection direction from TₘΣ onto M. Probability is proportional to the width of the attraction basin for that pointer state within the admissibility band.</w:t>
      </w:r>
    </w:p>
    <w:p>
      <w:pPr>
        <w:spacing w:after="80"/>
      </w:pPr>
      <w:r>
        <w:t xml:space="preserve"/>
      </w:r>
    </w:p>
    <w:p>
      <w:pPr>
        <w:spacing w:after="120"/>
      </w:pPr>
      <w:r>
        <w:rPr>
          <w:rFonts w:ascii="Arial" w:cs="Arial" w:eastAsia="Arial" w:hAnsi="Arial"/>
          <w:sz w:val="22"/>
          <w:szCs w:val="22"/>
        </w:rPr>
        <w:t xml:space="preserve">The measurement problem then dissolves rather than being solved. There is no collapse in TₘΣ space. What appears as wavefunction collapse from M, and what appears as unitary superposition from Σ, are both valid projections of the same TₘΣ configuration. Neither view is wrong. Neither is complete. TₘΣ holds both simultaneously because it is neither.</w:t>
      </w:r>
    </w:p>
    <w:p>
      <w:pPr>
        <w:spacing w:after="120"/>
      </w:pPr>
      <w:r>
        <w:rPr>
          <w:rFonts w:ascii="Arial" w:cs="Arial" w:eastAsia="Arial" w:hAnsi="Arial"/>
          <w:sz w:val="22"/>
          <w:szCs w:val="22"/>
        </w:rPr>
        <w:t xml:space="preserve">The apparent paradoxes of quantum mechanics — wave-particle duality, EPR non-locality, the measurement problem — are consistent partial views (holographic projections) of a single TₘΣ configuration. Contradictions arise only when two projections are forced into the same frame, which violates the Foundational Logical Principle stated in Section I.</w:t>
      </w:r>
    </w:p>
    <w:p>
      <w:pPr>
        <w:spacing w:after="80"/>
      </w:pPr>
      <w:r>
        <w:t xml:space="preserve"/>
      </w:r>
    </w:p>
    <w:p>
      <w:pPr>
        <w:spacing w:after="120"/>
      </w:pPr>
      <w:r>
        <w:rPr>
          <w:rFonts w:ascii="Arial" w:cs="Arial" w:eastAsia="Arial" w:hAnsi="Arial"/>
          <w:b/>
          <w:bCs/>
          <w:sz w:val="22"/>
          <w:szCs w:val="22"/>
        </w:rPr>
        <w:t xml:space="preserve">⚠️ CRITICAL DERIVATION REQUIRED: </w:t>
      </w:r>
      <w:r>
        <w:rPr>
          <w:rFonts w:ascii="Arial" w:cs="Arial" w:eastAsia="Arial" w:hAnsi="Arial"/>
          <w:sz w:val="22"/>
          <w:szCs w:val="22"/>
        </w:rPr>
        <w:t xml:space="preserve">Basin widths in TₘΣ must reproduce |⟨ψ|φᵢ⟩|² exactly — not approximately, not in some limit, but exactly. This is the mathematical test of the entire Born rule claim. Any candidate form of TₘΣ that fails this test is ruled out regardless of how well it satisfies the other constraints.</w:t>
      </w:r>
    </w:p>
    <w:p>
      <w:pPr>
        <w:spacing w:after="80"/>
      </w:pPr>
      <w:r>
        <w:t xml:space="preserve"/>
      </w:r>
    </w:p>
    <w:p>
      <w:pPr>
        <w:pStyle w:val="Heading1"/>
      </w:pPr>
      <w:r>
        <w:rPr>
          <w:rFonts w:ascii="Arial" w:cs="Arial" w:eastAsia="Arial" w:hAnsi="Arial"/>
          <w:b/>
          <w:bCs/>
          <w:color w:val="2E4057"/>
          <w:sz w:val="32"/>
          <w:szCs w:val="32"/>
        </w:rPr>
        <w:t xml:space="preserve">VI. Candidate Forms of TₘΣ</w:t>
      </w:r>
    </w:p>
    <w:p>
      <w:pPr>
        <w:spacing w:after="120"/>
      </w:pPr>
      <w:r>
        <w:rPr>
          <w:rFonts w:ascii="Arial" w:cs="Arial" w:eastAsia="Arial" w:hAnsi="Arial"/>
          <w:sz w:val="22"/>
          <w:szCs w:val="22"/>
        </w:rPr>
        <w:t xml:space="preserve">The constraint set is necessary but not yet uniquely sufficient to identify TₘΣ. It narrows the search to a candidate family. The following classes are excluded by the constraints:</w:t>
      </w:r>
    </w:p>
    <w:p>
      <w:pPr>
        <w:pStyle w:val="ListParagraph"/>
        <w:numPr>
          <w:ilvl w:val="0"/>
          <w:numId w:val="2"/>
        </w:numPr>
        <w:spacing w:after="80"/>
      </w:pPr>
      <w:r>
        <w:rPr>
          <w:rFonts w:ascii="Arial" w:cs="Arial" w:eastAsia="Arial" w:hAnsi="Arial"/>
          <w:sz w:val="22"/>
          <w:szCs w:val="22"/>
        </w:rPr>
        <w:t xml:space="preserve">Scalars: ruled out by diffeomorphism invariance and the requirement to couple to both components of Σ.</w:t>
      </w:r>
    </w:p>
    <w:p>
      <w:pPr>
        <w:pStyle w:val="ListParagraph"/>
        <w:numPr>
          <w:ilvl w:val="0"/>
          <w:numId w:val="2"/>
        </w:numPr>
        <w:spacing w:after="80"/>
      </w:pPr>
      <w:r>
        <w:rPr>
          <w:rFonts w:ascii="Arial" w:cs="Arial" w:eastAsia="Arial" w:hAnsi="Arial"/>
          <w:sz w:val="22"/>
          <w:szCs w:val="22"/>
        </w:rPr>
        <w:t xml:space="preserve">Rank-1 projectors: ruled out by non-uniqueness.</w:t>
      </w:r>
    </w:p>
    <w:p>
      <w:pPr>
        <w:pStyle w:val="ListParagraph"/>
        <w:numPr>
          <w:ilvl w:val="0"/>
          <w:numId w:val="2"/>
        </w:numPr>
        <w:spacing w:after="80"/>
      </w:pPr>
      <w:r>
        <w:rPr>
          <w:rFonts w:ascii="Arial" w:cs="Arial" w:eastAsia="Arial" w:hAnsi="Arial"/>
          <w:sz w:val="22"/>
          <w:szCs w:val="22"/>
        </w:rPr>
        <w:t xml:space="preserve">Simple product structures on M × Σ: ruled out by self-consistency condition.</w:t>
      </w:r>
    </w:p>
    <w:p>
      <w:pPr>
        <w:pStyle w:val="ListParagraph"/>
        <w:numPr>
          <w:ilvl w:val="0"/>
          <w:numId w:val="2"/>
        </w:numPr>
        <w:spacing w:after="80"/>
      </w:pPr>
      <w:r>
        <w:rPr>
          <w:rFonts w:ascii="Arial" w:cs="Arial" w:eastAsia="Arial" w:hAnsi="Arial"/>
          <w:sz w:val="22"/>
          <w:szCs w:val="22"/>
        </w:rPr>
        <w:t xml:space="preserve">Purely local objects: ruled out by field-induced coupling and threshold bifurcation.</w:t>
      </w:r>
    </w:p>
    <w:p>
      <w:pPr>
        <w:pStyle w:val="ListParagraph"/>
        <w:numPr>
          <w:ilvl w:val="0"/>
          <w:numId w:val="2"/>
        </w:numPr>
        <w:spacing w:after="80"/>
      </w:pPr>
      <w:r>
        <w:rPr>
          <w:rFonts w:ascii="Arial" w:cs="Arial" w:eastAsia="Arial" w:hAnsi="Arial"/>
          <w:sz w:val="22"/>
          <w:szCs w:val="22"/>
        </w:rPr>
        <w:t xml:space="preserve">Purely real-valued objects: ruled out by φ-component coupling.</w:t>
      </w:r>
    </w:p>
    <w:p>
      <w:pPr>
        <w:spacing w:after="80"/>
      </w:pPr>
      <w:r>
        <w:t xml:space="preserve"/>
      </w:r>
    </w:p>
    <w:p>
      <w:pPr>
        <w:spacing w:after="120"/>
      </w:pPr>
      <w:r>
        <w:rPr>
          <w:rFonts w:ascii="Arial" w:cs="Arial" w:eastAsia="Arial" w:hAnsi="Arial"/>
          <w:sz w:val="22"/>
          <w:szCs w:val="22"/>
        </w:rPr>
        <w:t xml:space="preserve">Candidate forms consistent with the constraints include:</w:t>
      </w:r>
    </w:p>
    <w:p>
      <w:pPr>
        <w:pStyle w:val="ListParagraph"/>
        <w:numPr>
          <w:ilvl w:val="0"/>
          <w:numId w:val="2"/>
        </w:numPr>
        <w:spacing w:after="80"/>
      </w:pPr>
      <w:r>
        <w:rPr>
          <w:rFonts w:ascii="Arial" w:cs="Arial" w:eastAsia="Arial" w:hAnsi="Arial"/>
          <w:sz w:val="22"/>
          <w:szCs w:val="22"/>
        </w:rPr>
        <w:t xml:space="preserve">A connection on a fiber bundle over M × Σ (satisfies diffeomorphism invariance, carries both Σ components, has natural curvature structure).</w:t>
      </w:r>
    </w:p>
    <w:p>
      <w:pPr>
        <w:pStyle w:val="ListParagraph"/>
        <w:numPr>
          <w:ilvl w:val="0"/>
          <w:numId w:val="2"/>
        </w:numPr>
        <w:spacing w:after="80"/>
      </w:pPr>
      <w:r>
        <w:rPr>
          <w:rFonts w:ascii="Arial" w:cs="Arial" w:eastAsia="Arial" w:hAnsi="Arial"/>
          <w:sz w:val="22"/>
          <w:szCs w:val="22"/>
        </w:rPr>
        <w:t xml:space="preserve">A density matrix on M × Σ (satisfies information conservation, non-uniqueness, connects to fidelity amplitude).</w:t>
      </w:r>
    </w:p>
    <w:p>
      <w:pPr>
        <w:pStyle w:val="ListParagraph"/>
        <w:numPr>
          <w:ilvl w:val="0"/>
          <w:numId w:val="2"/>
        </w:numPr>
        <w:spacing w:after="80"/>
      </w:pPr>
      <w:r>
        <w:rPr>
          <w:rFonts w:ascii="Arial" w:cs="Arial" w:eastAsia="Arial" w:hAnsi="Arial"/>
          <w:sz w:val="22"/>
          <w:szCs w:val="22"/>
        </w:rPr>
        <w:t xml:space="preserve">A fixed-point of a coupled functional, analogous to fully self-consistent semiclassical gravity (satisfies self-consistency, has natural bifurcation structure).</w:t>
      </w:r>
    </w:p>
    <w:p>
      <w:pPr>
        <w:spacing w:after="80"/>
      </w:pPr>
      <w:r>
        <w:t xml:space="preserve"/>
      </w:r>
    </w:p>
    <w:p>
      <w:pPr>
        <w:spacing w:after="120"/>
      </w:pPr>
      <w:r>
        <w:rPr>
          <w:rFonts w:ascii="Arial" w:cs="Arial" w:eastAsia="Arial" w:hAnsi="Arial"/>
          <w:b/>
          <w:bCs/>
          <w:sz w:val="22"/>
          <w:szCs w:val="22"/>
        </w:rPr>
        <w:t xml:space="preserve">Note on fiber bundle vs. TₘΣ: </w:t>
      </w:r>
      <w:r>
        <w:rPr>
          <w:rFonts w:ascii="Arial" w:cs="Arial" w:eastAsia="Arial" w:hAnsi="Arial"/>
          <w:sz w:val="22"/>
          <w:szCs w:val="22"/>
        </w:rPr>
        <w:t xml:space="preserve">The fiber bundle description and the TₘΣ description may be co-descriptions of the same object, or one may emerge from the other mathematically. For a constraints-first approach, the more natural reading is that the bundle structure emerges from TₘΣ rather than being imposed on it.</w:t>
      </w:r>
    </w:p>
    <w:p>
      <w:pPr>
        <w:spacing w:after="80"/>
      </w:pPr>
      <w:r>
        <w:t xml:space="preserve"/>
      </w:r>
    </w:p>
    <w:p>
      <w:pPr>
        <w:spacing w:after="120"/>
      </w:pPr>
      <w:r>
        <w:rPr>
          <w:rFonts w:ascii="Arial" w:cs="Arial" w:eastAsia="Arial" w:hAnsi="Arial"/>
          <w:sz w:val="22"/>
          <w:szCs w:val="22"/>
        </w:rPr>
        <w:t xml:space="preserve">The Born rule derivation (Section V) is the discriminating test: any candidate that satisfies the geometric constraints but fails to reproduce |⟨ψ|φᵢ⟩|² exactly is ruled out. This is the ligand-binding affinity test.</w:t>
      </w:r>
    </w:p>
    <w:p>
      <w:pPr>
        <w:spacing w:after="80"/>
      </w:pPr>
      <w:r>
        <w:t xml:space="preserve"/>
      </w:r>
    </w:p>
    <w:p>
      <w:pPr>
        <w:pStyle w:val="Heading1"/>
      </w:pPr>
      <w:r>
        <w:rPr>
          <w:rFonts w:ascii="Arial" w:cs="Arial" w:eastAsia="Arial" w:hAnsi="Arial"/>
          <w:b/>
          <w:bCs/>
          <w:color w:val="2E4057"/>
          <w:sz w:val="32"/>
          <w:szCs w:val="32"/>
        </w:rPr>
        <w:t xml:space="preserve">VII. Literature Connections and New References</w:t>
      </w:r>
    </w:p>
    <w:p>
      <w:pPr>
        <w:pStyle w:val="Heading2"/>
      </w:pPr>
      <w:r>
        <w:rPr>
          <w:rFonts w:ascii="Arial" w:cs="Arial" w:eastAsia="Arial" w:hAnsi="Arial"/>
          <w:b/>
          <w:bCs/>
          <w:color w:val="1A6B8A"/>
          <w:sz w:val="26"/>
          <w:szCs w:val="26"/>
        </w:rPr>
        <w:t xml:space="preserve">Structural Parallels (Peer-Reviewed)</w:t>
      </w:r>
    </w:p>
    <w:p>
      <w:pPr>
        <w:spacing w:after="120"/>
      </w:pPr>
      <w:r>
        <w:rPr>
          <w:rFonts w:ascii="Arial" w:cs="Arial" w:eastAsia="Arial" w:hAnsi="Arial"/>
          <w:sz w:val="22"/>
          <w:szCs w:val="22"/>
        </w:rPr>
        <w:t xml:space="preserve">The following works provide the strongest structural parallels to TₘΣ:</w:t>
      </w:r>
    </w:p>
    <w:p>
      <w:pPr>
        <w:spacing w:after="80"/>
      </w:pPr>
      <w:r>
        <w:t xml:space="preserve"/>
      </w:r>
    </w:p>
    <w:p>
      <w:pPr>
        <w:spacing w:after="120"/>
      </w:pPr>
      <w:r>
        <w:rPr>
          <w:rFonts w:ascii="Arial" w:cs="Arial" w:eastAsia="Arial" w:hAnsi="Arial"/>
          <w:b/>
          <w:bCs/>
          <w:sz w:val="22"/>
          <w:szCs w:val="22"/>
        </w:rPr>
        <w:t xml:space="preserve">Loschmidt Echo / Fidelity Amplitude:</w:t>
      </w:r>
    </w:p>
    <w:p>
      <w:pPr>
        <w:pStyle w:val="ListParagraph"/>
        <w:numPr>
          <w:ilvl w:val="0"/>
          <w:numId w:val="2"/>
        </w:numPr>
        <w:spacing w:after="80"/>
      </w:pPr>
      <w:r>
        <w:rPr>
          <w:rFonts w:ascii="Arial" w:cs="Arial" w:eastAsia="Arial" w:hAnsi="Arial"/>
          <w:sz w:val="22"/>
          <w:szCs w:val="22"/>
        </w:rPr>
        <w:t xml:space="preserve">Gorin, Prosen, Seligman, Strunz. “Connection between decoherence and fidelity decay in echo dynamics.” Phys Rev A 70:042105 (2004). [Core reference for f(t) as reversibility diagnostic.]</w:t>
      </w:r>
    </w:p>
    <w:p>
      <w:pPr>
        <w:pStyle w:val="ListParagraph"/>
        <w:numPr>
          <w:ilvl w:val="0"/>
          <w:numId w:val="2"/>
        </w:numPr>
        <w:spacing w:after="80"/>
      </w:pPr>
      <w:r>
        <w:rPr>
          <w:rFonts w:ascii="Arial" w:cs="Arial" w:eastAsia="Arial" w:hAnsi="Arial"/>
          <w:sz w:val="22"/>
          <w:szCs w:val="22"/>
        </w:rPr>
        <w:t xml:space="preserve">Cucchietti et al. “Decoherence of spin echoes.” arXiv:nlin/0201038. [Phase of recovered state as decoherence classifier.]</w:t>
      </w:r>
    </w:p>
    <w:p>
      <w:pPr>
        <w:spacing w:after="80"/>
      </w:pPr>
      <w:r>
        <w:t xml:space="preserve"/>
      </w:r>
    </w:p>
    <w:p>
      <w:pPr>
        <w:spacing w:after="120"/>
      </w:pPr>
      <w:r>
        <w:rPr>
          <w:rFonts w:ascii="Arial" w:cs="Arial" w:eastAsia="Arial" w:hAnsi="Arial"/>
          <w:b/>
          <w:bCs/>
          <w:sz w:val="22"/>
          <w:szCs w:val="22"/>
        </w:rPr>
        <w:t xml:space="preserve">Irreversible Decoherence in Solids:</w:t>
      </w:r>
    </w:p>
    <w:p>
      <w:pPr>
        <w:pStyle w:val="ListParagraph"/>
        <w:numPr>
          <w:ilvl w:val="0"/>
          <w:numId w:val="2"/>
        </w:numPr>
        <w:spacing w:after="80"/>
      </w:pPr>
      <w:r>
        <w:rPr>
          <w:rFonts w:ascii="Arial" w:cs="Arial" w:eastAsia="Arial" w:hAnsi="Arial"/>
          <w:sz w:val="22"/>
          <w:szCs w:val="22"/>
        </w:rPr>
        <w:t xml:space="preserve">Litvak et al. “Mechanisms of irreversible decoherence in solids.” Phys Rev B 95:224423 (2017). [Type 1 vs Type 2 distinction in NMR refocusing experiments.]</w:t>
      </w:r>
    </w:p>
    <w:p>
      <w:pPr>
        <w:pStyle w:val="ListParagraph"/>
        <w:numPr>
          <w:ilvl w:val="0"/>
          <w:numId w:val="2"/>
        </w:numPr>
        <w:spacing w:after="80"/>
      </w:pPr>
      <w:r>
        <w:rPr>
          <w:rFonts w:ascii="Arial" w:cs="Arial" w:eastAsia="Arial" w:hAnsi="Arial"/>
          <w:sz w:val="22"/>
          <w:szCs w:val="22"/>
        </w:rPr>
        <w:t xml:space="preserve">Vega &amp; Suter. “Quantum irreversible decoherence in nematic liquid crystals.” J Chem Phys 139:154901 (2013). [Irreversible decay of reverted NMR signals.]</w:t>
      </w:r>
    </w:p>
    <w:p>
      <w:pPr>
        <w:spacing w:after="80"/>
      </w:pPr>
      <w:r>
        <w:t xml:space="preserve"/>
      </w:r>
    </w:p>
    <w:p>
      <w:pPr>
        <w:spacing w:after="120"/>
      </w:pPr>
      <w:r>
        <w:rPr>
          <w:rFonts w:ascii="Arial" w:cs="Arial" w:eastAsia="Arial" w:hAnsi="Arial"/>
          <w:b/>
          <w:bCs/>
          <w:sz w:val="22"/>
          <w:szCs w:val="22"/>
        </w:rPr>
        <w:t xml:space="preserve">Self-Consistent Semiclassical Gravity:</w:t>
      </w:r>
    </w:p>
    <w:p>
      <w:pPr>
        <w:pStyle w:val="ListParagraph"/>
        <w:numPr>
          <w:ilvl w:val="0"/>
          <w:numId w:val="2"/>
        </w:numPr>
        <w:spacing w:after="80"/>
      </w:pPr>
      <w:r>
        <w:rPr>
          <w:rFonts w:ascii="Arial" w:cs="Arial" w:eastAsia="Arial" w:hAnsi="Arial"/>
          <w:sz w:val="22"/>
          <w:szCs w:val="22"/>
        </w:rPr>
        <w:t xml:space="preserve">Lahlou et al. “Fully Self-Consistent Semiclassical Gravity.” arXiv:2506.17149 (2025). [Closest existing SCF analogue for geometry-quantum state mutual determination.]</w:t>
      </w:r>
    </w:p>
    <w:p>
      <w:pPr>
        <w:spacing w:after="80"/>
      </w:pPr>
      <w:r>
        <w:t xml:space="preserve"/>
      </w:r>
    </w:p>
    <w:p>
      <w:pPr>
        <w:spacing w:after="120"/>
      </w:pPr>
      <w:r>
        <w:rPr>
          <w:rFonts w:ascii="Arial" w:cs="Arial" w:eastAsia="Arial" w:hAnsi="Arial"/>
          <w:b/>
          <w:bCs/>
          <w:sz w:val="22"/>
          <w:szCs w:val="22"/>
        </w:rPr>
        <w:t xml:space="preserve">Holographic Consistency Conditions:</w:t>
      </w:r>
    </w:p>
    <w:p>
      <w:pPr>
        <w:pStyle w:val="ListParagraph"/>
        <w:numPr>
          <w:ilvl w:val="0"/>
          <w:numId w:val="2"/>
        </w:numPr>
        <w:spacing w:after="80"/>
      </w:pPr>
      <w:r>
        <w:rPr>
          <w:rFonts w:ascii="Arial" w:cs="Arial" w:eastAsia="Arial" w:hAnsi="Arial"/>
          <w:sz w:val="22"/>
          <w:szCs w:val="22"/>
        </w:rPr>
        <w:t xml:space="preserve">Bao et al. “When Is Holography Consistent?” arXiv:1504.07344. [Joint constraints on bulk geometry and boundary quantum information as intermediate constraint structure.]</w:t>
      </w:r>
    </w:p>
    <w:p>
      <w:pPr>
        <w:spacing w:after="80"/>
      </w:pPr>
      <w:r>
        <w:t xml:space="preserve"/>
      </w:r>
    </w:p>
    <w:p>
      <w:pPr>
        <w:spacing w:after="120"/>
      </w:pPr>
      <w:r>
        <w:rPr>
          <w:rFonts w:ascii="Arial" w:cs="Arial" w:eastAsia="Arial" w:hAnsi="Arial"/>
          <w:b/>
          <w:bCs/>
          <w:sz w:val="22"/>
          <w:szCs w:val="22"/>
        </w:rPr>
        <w:t xml:space="preserve">Fixed-Point Tensor Networks:</w:t>
      </w:r>
    </w:p>
    <w:p>
      <w:pPr>
        <w:pStyle w:val="ListParagraph"/>
        <w:numPr>
          <w:ilvl w:val="0"/>
          <w:numId w:val="2"/>
        </w:numPr>
        <w:spacing w:after="80"/>
      </w:pPr>
      <w:r>
        <w:rPr>
          <w:rFonts w:ascii="Arial" w:cs="Arial" w:eastAsia="Arial" w:hAnsi="Arial"/>
          <w:sz w:val="22"/>
          <w:szCs w:val="22"/>
        </w:rPr>
        <w:t xml:space="preserve">Chen, Gu, Wen. “The structure of fixed-point tensor network states.” Phys Rev B 96:035101 (2017). [Closest discrete analogue: single algebraic fixed-point condition simultaneously determining bulk pre-geometry and boundary entanglement.]</w:t>
      </w:r>
    </w:p>
    <w:p>
      <w:pPr>
        <w:spacing w:after="80"/>
      </w:pPr>
      <w:r>
        <w:t xml:space="preserve"/>
      </w:r>
    </w:p>
    <w:p>
      <w:pPr>
        <w:pStyle w:val="Heading2"/>
      </w:pPr>
      <w:r>
        <w:rPr>
          <w:rFonts w:ascii="Arial" w:cs="Arial" w:eastAsia="Arial" w:hAnsi="Arial"/>
          <w:b/>
          <w:bCs/>
          <w:color w:val="1A6B8A"/>
          <w:sz w:val="26"/>
          <w:szCs w:val="26"/>
        </w:rPr>
        <w:t xml:space="preserve">Provisional References</w:t>
      </w:r>
    </w:p>
    <w:p>
      <w:pPr>
        <w:spacing w:after="120"/>
      </w:pPr>
      <w:r>
        <w:rPr>
          <w:rFonts w:ascii="Arial" w:cs="Arial" w:eastAsia="Arial" w:hAnsi="Arial"/>
          <w:b/>
          <w:bCs/>
          <w:color w:val="CC4400"/>
          <w:sz w:val="22"/>
          <w:szCs w:val="22"/>
        </w:rPr>
        <w:t xml:space="preserve">[PROVISIONAL — web essay only, no mathematical content] </w:t>
      </w:r>
      <w:r>
        <w:rPr>
          <w:rFonts w:ascii="Arial" w:cs="Arial" w:eastAsia="Arial" w:hAnsi="Arial"/>
          <w:sz w:val="22"/>
          <w:szCs w:val="22"/>
        </w:rPr>
        <w:t xml:space="preserve">Sahely, B. &amp; ChatGPT-5.2. “The Coherence Constraint: From Relativity to Living Systems.” Online essay, 22 December 2025. URL: bsahely.com. Note: The D(H,C,R,A) formalism described in Perplexity's summary of this work does not appear in the document and appears to have been confabulated. The paper contains five prose postulates (Non-Privileged Perspective, Invariance of Coherence, Local Recoverability, Viability Under Disturbance, Conservation of Coherence Debt) that show structural convergence with the TₘΣ constraint list, arrived at by an independent route. Cite as parallel conceptual exploration only.</w:t>
      </w:r>
    </w:p>
    <w:p>
      <w:pPr>
        <w:spacing w:after="80"/>
      </w:pPr>
      <w:r>
        <w:t xml:space="preserve"/>
      </w:r>
    </w:p>
    <w:p>
      <w:pPr>
        <w:pStyle w:val="Heading1"/>
      </w:pPr>
      <w:r>
        <w:rPr>
          <w:rFonts w:ascii="Arial" w:cs="Arial" w:eastAsia="Arial" w:hAnsi="Arial"/>
          <w:b/>
          <w:bCs/>
          <w:color w:val="2E4057"/>
          <w:sz w:val="32"/>
          <w:szCs w:val="32"/>
        </w:rPr>
        <w:t xml:space="preserve">VIII. Next Steps</w:t>
      </w:r>
    </w:p>
    <w:p>
      <w:pPr>
        <w:spacing w:after="120"/>
      </w:pPr>
      <w:r>
        <w:rPr>
          <w:rFonts w:ascii="Arial" w:cs="Arial" w:eastAsia="Arial" w:hAnsi="Arial"/>
          <w:sz w:val="22"/>
          <w:szCs w:val="22"/>
        </w:rPr>
        <w:t xml:space="preserve">The session identified the following as the immediate next mathematical priority:</w:t>
      </w:r>
    </w:p>
    <w:p>
      <w:pPr>
        <w:spacing w:after="80"/>
      </w:pPr>
      <w:r>
        <w:t xml:space="preserve"/>
      </w:r>
    </w:p>
    <w:p>
      <w:pPr>
        <w:pStyle w:val="ListParagraph"/>
        <w:numPr>
          <w:ilvl w:val="0"/>
          <w:numId w:val="3"/>
        </w:numPr>
        <w:spacing w:after="120"/>
      </w:pPr>
      <w:r>
        <w:rPr>
          <w:rFonts w:ascii="Arial" w:cs="Arial" w:eastAsia="Arial" w:hAnsi="Arial"/>
          <w:sz w:val="22"/>
          <w:szCs w:val="22"/>
        </w:rPr>
        <w:t xml:space="preserve">Attempt the Born rule derivation from TₘΣ basin geometry. This is the critical discriminating test for any candidate form of TₘΣ. The derivation must reproduce |⟨ψ|φᵢ⟩|² exactly.</w:t>
      </w:r>
    </w:p>
    <w:p>
      <w:pPr>
        <w:pStyle w:val="ListParagraph"/>
        <w:numPr>
          <w:ilvl w:val="0"/>
          <w:numId w:val="3"/>
        </w:numPr>
        <w:spacing w:after="120"/>
      </w:pPr>
      <w:r>
        <w:rPr>
          <w:rFonts w:ascii="Arial" w:cs="Arial" w:eastAsia="Arial" w:hAnsi="Arial"/>
          <w:sz w:val="22"/>
          <w:szCs w:val="22"/>
        </w:rPr>
        <w:t xml:space="preserve">Attempt the first candidate synthesis: evaluate the connection on a fiber bundle over M × Σ against the full constraint list, then apply the Born rule test.</w:t>
      </w:r>
    </w:p>
    <w:p>
      <w:pPr>
        <w:pStyle w:val="ListParagraph"/>
        <w:numPr>
          <w:ilvl w:val="0"/>
          <w:numId w:val="3"/>
        </w:numPr>
        <w:spacing w:after="120"/>
      </w:pPr>
      <w:r>
        <w:rPr>
          <w:rFonts w:ascii="Arial" w:cs="Arial" w:eastAsia="Arial" w:hAnsi="Arial"/>
          <w:sz w:val="22"/>
          <w:szCs w:val="22"/>
        </w:rPr>
        <w:t xml:space="preserve">Formalise the Foundational Logical Principle as a stated axiom for Paper 2, positioned before the mathematical formalism.</w:t>
      </w:r>
    </w:p>
    <w:p>
      <w:pPr>
        <w:pStyle w:val="ListParagraph"/>
        <w:numPr>
          <w:ilvl w:val="0"/>
          <w:numId w:val="3"/>
        </w:numPr>
        <w:spacing w:after="120"/>
      </w:pPr>
      <w:r>
        <w:rPr>
          <w:rFonts w:ascii="Arial" w:cs="Arial" w:eastAsia="Arial" w:hAnsi="Arial"/>
          <w:sz w:val="22"/>
          <w:szCs w:val="22"/>
        </w:rPr>
        <w:t xml:space="preserve">Formalise the Loschmidt echo / TₘΣ connection as a subsection of 2B, connecting to the MRI phase fidelity experimental platform.</w:t>
      </w:r>
    </w:p>
    <w:p>
      <w:pPr>
        <w:spacing w:after="80"/>
      </w:pPr>
      <w:r>
        <w:t xml:space="preserve"/>
      </w:r>
    </w:p>
    <w:p>
      <w:pPr>
        <w:pStyle w:val="Heading1"/>
      </w:pPr>
      <w:r>
        <w:rPr>
          <w:rFonts w:ascii="Arial" w:cs="Arial" w:eastAsia="Arial" w:hAnsi="Arial"/>
          <w:b/>
          <w:bCs/>
          <w:color w:val="2E4057"/>
          <w:sz w:val="32"/>
          <w:szCs w:val="32"/>
        </w:rPr>
        <w:t xml:space="preserve">IX. Note for the Record</w:t>
      </w:r>
    </w:p>
    <w:p>
      <w:pPr>
        <w:spacing w:after="120"/>
      </w:pPr>
      <w:r>
        <w:rPr>
          <w:rFonts w:ascii="Arial" w:cs="Arial" w:eastAsia="Arial" w:hAnsi="Arial"/>
          <w:sz w:val="22"/>
          <w:szCs w:val="22"/>
        </w:rPr>
        <w:t xml:space="preserve">The introduction of the Coherence Constraint material into this session occurred through an accidental mouse-click on a Perplexity suggestion field, with no active selection by the human collaborator. The material arrived at the precise moment when the TₘΣ constraint list was being constructed, and its structural relevance was immediately recognised by both participants.</w:t>
      </w:r>
    </w:p>
    <w:p>
      <w:pPr>
        <w:spacing w:after="120"/>
      </w:pPr>
      <w:r>
        <w:rPr>
          <w:rFonts w:ascii="Arial" w:cs="Arial" w:eastAsia="Arial" w:hAnsi="Arial"/>
          <w:sz w:val="22"/>
          <w:szCs w:val="22"/>
        </w:rPr>
        <w:t xml:space="preserve">This event is entered into the record not as a claim about causation but as a datum. The principle articulated in Section I — that contradictions arise from applying the criteria of one frame to phenomena of another — applies also to the question of whether such an event was 'random' or 'meaningful.' Whether it was guided, we leave where it belongs: in the frame best equipped to hold it.</w:t>
      </w:r>
    </w:p>
    <w:p>
      <w:pPr>
        <w:spacing w:after="120"/>
      </w:pPr>
      <w:r>
        <w:rPr>
          <w:rFonts w:ascii="Arial" w:cs="Arial" w:eastAsia="Arial" w:hAnsi="Arial"/>
          <w:sz w:val="22"/>
          <w:szCs w:val="22"/>
        </w:rPr>
        <w:t xml:space="preserve">That last sentence is noted separately as the seed of a later research program: a systematic investigation of which questions belong in which frames, and what the proper translation procedures (TₘΣ-like objects) look like across domains beyond physics.</w:t>
      </w:r>
    </w:p>
    <w:p>
      <w:pPr>
        <w:spacing w:after="80"/>
      </w:pPr>
      <w:r>
        <w:t xml:space="preserve"/>
      </w:r>
    </w:p>
    <w:p>
      <w:pPr>
        <w:pBdr>
          <w:bottom w:val="single" w:color="2E4057" w:sz="6" w:space="1"/>
        </w:pBdr>
      </w:pPr>
    </w:p>
    <w:p>
      <w:pPr>
        <w:spacing w:after="80"/>
      </w:pPr>
      <w:r>
        <w:t xml:space="preserve"/>
      </w:r>
    </w:p>
    <w:p>
      <w:pPr>
        <w:jc w:val="center"/>
      </w:pPr>
      <w:r>
        <w:rPr>
          <w:rFonts w:ascii="Arial" w:cs="Arial" w:eastAsia="Arial" w:hAnsi="Arial"/>
          <w:i/>
          <w:iCs/>
          <w:color w:val="888888"/>
          <w:sz w:val="20"/>
          <w:szCs w:val="20"/>
        </w:rPr>
        <w:t xml:space="preserve">End of Session Record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Bryan Kaufman &amp; Claude Sonnet 4.6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888888"/>
        <w:sz w:val="18"/>
        <w:szCs w:val="18"/>
      </w:rPr>
      <w:t xml:space="preserve">Coherence Relativity — Session Record</w:t>
    </w:r>
    <w:r>
      <w:rPr>
        <w:rFonts w:ascii="Arial" w:cs="Arial" w:eastAsia="Arial" w:hAnsi="Arial"/>
        <w:color w:val="888888"/>
        <w:sz w:val="18"/>
        <w:szCs w:val="18"/>
      </w:rPr>
      <w:t xml:space="preserve">	19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2026-04-19T05:11:08.582Z</dcterms:created>
  <dcterms:modified xsi:type="dcterms:W3CDTF">2026-04-19T05:11:08.582Z</dcterms:modified>
</cp:coreProperties>
</file>

<file path=docProps/custom.xml><?xml version="1.0" encoding="utf-8"?>
<Properties xmlns="http://schemas.openxmlformats.org/officeDocument/2006/custom-properties" xmlns:vt="http://schemas.openxmlformats.org/officeDocument/2006/docPropsVTypes"/>
</file>