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Bryan Kaufman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Independent Researcher</w:t>
      </w:r>
    </w:p>
    <w:p>
      <w:pPr>
        <w:spacing w:after="40"/>
      </w:pPr>
      <w:r>
        <w:rPr>
          <w:rFonts w:ascii="Times New Roman" w:cs="Times New Roman" w:eastAsia="Times New Roman" w:hAnsi="Times New Roman"/>
          <w:color w:val="444444"/>
          <w:sz w:val="22"/>
          <w:szCs w:val="22"/>
        </w:rPr>
        <w:t xml:space="preserve">bryankaufman@mac.com  •  ORCID: 0009-0005-6838-2433</w:t>
      </w:r>
    </w:p>
    <w:p>
      <w:pPr>
        <w:spacing w:after="240"/>
      </w:pPr>
      <w:r>
        <w:rPr>
          <w:rFonts w:ascii="Times New Roman" w:cs="Times New Roman" w:eastAsia="Times New Roman" w:hAnsi="Times New Roman"/>
          <w:color w:val="444444"/>
          <w:sz w:val="22"/>
          <w:szCs w:val="22"/>
        </w:rPr>
        <w:t xml:space="preserve">March 21, 2026</w:t>
      </w:r>
    </w:p>
    <w:p>
      <w:pPr>
        <w:pBdr>
          <w:bottom w:val="single" w:color="444444" w:sz="6" w:space="1"/>
        </w:pBdr>
        <w:spacing w:after="160"/>
      </w:pP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Editors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Foundations of Physics</w:t>
      </w:r>
    </w:p>
    <w:p>
      <w:pPr>
        <w:spacing w:after="240"/>
      </w:pP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Dear Editor,</w:t>
      </w:r>
    </w:p>
    <w:p>
      <w:pPr>
        <w:spacing w:after="80"/>
      </w:pP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 am submitting a substantially revised and improved version of my manuscript, “Coherence Relativity I: Coherence Frames, Frame Invariance, and the Born Rule,” for consideration in Foundations of Physics. A preprint of the original version (v1, February 24, 2026) is available at Zenodo (DOI: 10.5281/zenodo.18675342); the present submission corresponds to v3 (March 21, 2026) of that record.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revisions were not in response to external referee comments but arose from a rigorous self-initiated review conducted by the Society of Mind multi-agent ensemble — a coordinated research infrastructure comprising Claude (Anthropic), ChatGPT (OpenAI), Perplexity AI, Warp AI, and xAI’s Grok — operating under explicit epistemic ground rules requiring confidence calibration, proactive disclosure of issues, and aggressive cross-validation between systems. The review identified and corrected both presentational and substantive issues, resulting in a manuscript that is materially stronger than the original submission.</w:t>
      </w:r>
    </w:p>
    <w:p>
      <w:pPr>
        <w:spacing w:after="80"/>
      </w:pPr>
    </w:p>
    <w:p>
      <w:pPr>
        <w:spacing w:before="240" w:after="120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Principal Improvements in This Version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revisions fall into four categories:</w:t>
      </w:r>
    </w:p>
    <w:p>
      <w:pPr>
        <w:spacing w:after="40"/>
      </w:pP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 Notation and consistency.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Seven critical notation conflicts were resolved, including: renaming the action path parameter from s to σ to eliminate collision with the accumulated arc length s(λ); renaming the free energy from F to ℱ to eliminate collision with the coherence frame symbol F; unifying the physical reality symbol to ℛ throughout (previously inconsistent between R and ℛ across sections); and correcting the abstract’s erroneous statement that the mixed-states extension was deferred to Paper 2 (it is given in §IV.C).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 Conceptual and logical corrections.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Eleven high-priority conceptual issues were addressed, including: introducing ℛ as a primitive (resolving a circularity in its original definition as an equivalence class of frame transformations); clarifying that the partial trace is not itself a frame transformation but the operation extracting a frame-description (bipartite example, §II.B); distinguishing the stochastic quasipotential V_stoch = inf S[γ] from the geometric quasipotential V(λ) = s(1)−s(λ) plotted in the figures; providing the explicit form of Ω_AB and clarifying its role as the necessary condition for hysteresis vs. the metric G_AB which determines magnitude; strengthening the physical justification for Axiom (A3); and addressing purification non-uniqueness in the mixed-states extension.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 Mathematical corrections.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EGY parameterization was corrected throughout to the standard form λ = √(1−|⟨W_L|W_R⟩|²), with consistent endpoint behavior (G_{λλ}(0) = 1/2 finite, G_{λλ} → ∞ as λ → 1) and all figures regenerated accordingly. The geodesic distance now correctly reads inf_γ ∫_γ √G_{λλ} dλ with explicit endpoints. The λ_D definition was corrected to include the i≠j constraint.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 Presentation and completeness.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compact notation table was added at the end of §I.C disambiguating all 20 principal symbols, including explicit disambiguation of the three F-family symbols, three V-family symbols, and the s/σ/Σ family. A hysteresis bridge paragraph was added connecting the action cost ΔS to the visibility deficit δV. The N-dependence of the quasipotential figure was explained. The Freidlin–Wentzell sentence fragment was repaired. A broken cross-reference (§​??) was corrected. The ‘Slows o0’ Unicode rendering error in Figure 1 was fixed.</w:t>
      </w:r>
    </w:p>
    <w:p>
      <w:pPr>
        <w:spacing w:after="80"/>
      </w:pPr>
    </w:p>
    <w:p>
      <w:pPr>
        <w:spacing w:before="240" w:after="120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Significance and Novelty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manuscript addresses the quantum measurement problem through a geometric framework that treats coherence as frame-relative — analogous to the relativity of simultaneity in special relativity. The three principal contributions remain unchanged:</w:t>
      </w:r>
    </w:p>
    <w:p>
      <w:pPr>
        <w:spacing w:after="4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Geometric Framework: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Coherence space Σ = U(d)/T^d is introduced as the physical arena for distinct observational perspectives. Physical reality ℛ is described on the joint manifold M × Σ.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Born Rule Derivation: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Born rule μ(ψ_i) = |c_i|² is derived as the unique probability measure invariant under coherence-frame transformations, given additivity, continuity, and frame locality. This holds for dim H ≥ 2, bypassing the qubit obstruction in Gleason’s theorem.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Testable Predictions: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Six signatures distinguishing CR from standard QM: non-linear geometric traversal, frame-transformation hysteresis, coherence-space curvature scaling, modified gravitational decoherence, measurable transformation timescales, and coherence revival. The two most accessible — hysteresis and timescales — are within reach of current superconducting qubit platforms.</w:t>
      </w:r>
    </w:p>
    <w:p>
      <w:pPr>
        <w:spacing w:after="80"/>
      </w:pPr>
    </w:p>
    <w:p>
      <w:pPr>
        <w:spacing w:before="240" w:after="120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Relationship to Prior 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Decoherence theory: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CR provides the geometric structure explaining why pointer bases emerge, not merely how interference is suppressed.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Many-worlds/Everett: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CR avoids ontological proliferation while maintaining unitary evolution; frame transformations are geometric, not branching events.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Relational QM and QBism: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CR derives rather than assumes the Born rule and identifies frame-invariant ontological content.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Collapse models: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No modification of quantum dynamics; collapse is reinterpreted as frame transformation.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Quantum reference frames: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CR transforms between descriptive bases for a fixed system; QRFs transform between quantum systems serving as references. The coherence space Σ provides a global geometric arena absent in QRF treatments.</w:t>
      </w:r>
    </w:p>
    <w:p>
      <w:pPr>
        <w:spacing w:after="80"/>
      </w:pPr>
    </w:p>
    <w:p>
      <w:pPr>
        <w:spacing w:before="240" w:after="120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AI Assistance Disclosure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 accordance with Springer Nature policy, I note that this manuscript was developed with substantive assistance from a coordinated multi-agent AI ensemble (Claude, ChatGPT, Perplexity AI, Warp AI, and xAI’s Grok). A full disclosure statement, including description of the quality-control framework and the Society of Mind inter-AI coordination protocol, is included in the Declarations section of the manuscript. All theoretical claims, mathematical derivations, and scientific judgments are solely those of the author.</w:t>
      </w:r>
    </w:p>
    <w:p>
      <w:pPr>
        <w:spacing w:after="80"/>
      </w:pPr>
    </w:p>
    <w:p>
      <w:pPr>
        <w:spacing w:before="240" w:after="120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Suggested Reviewers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Expert in quantum foundations and measurement: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Prof. Wojciech Zurek (Los Alamos National Laboratory) — decoherence and envariance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Prof. David Wallace (University of Pittsburgh) — Everettian quantum mechanics and probability</w:t>
      </w:r>
    </w:p>
    <w:p>
      <w:pPr>
        <w:spacing w:after="80"/>
      </w:pP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Expert in information geometry: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Prof. Dorje Brody (University of Surrey) — geometric quantum mechanics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Prof. Shun-ichi Amari (RIKEN) — information geometry</w:t>
      </w:r>
    </w:p>
    <w:p>
      <w:pPr>
        <w:spacing w:after="80"/>
      </w:pP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Expert in quantum foundations and experiment: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Prof. Markus Aspelmeyer (University of Vienna) — experimental quantum foundations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Prof. Michel Devoret (Yale University) — superconducting qubits and quantum measurement</w:t>
      </w:r>
    </w:p>
    <w:p>
      <w:pPr>
        <w:spacing w:after="80"/>
      </w:pP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Expert on Born rule derivations: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Prof. Carlton Caves (University of New Mexico) — quantum information and foundations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Prof. Christopher Fuchs (UMass Boston) — QBism and probability in quantum theory</w:t>
      </w:r>
    </w:p>
    <w:p>
      <w:pPr>
        <w:spacing w:after="80"/>
      </w:pPr>
    </w:p>
    <w:p>
      <w:pPr>
        <w:spacing w:before="240" w:after="120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Declarations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Conflicts of interest: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 declare no conflicts of interest with any suggested reviewers or otherwise. This work was conducted independently without external funding.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Ethical compliance: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This work is theoretical and computational. No human subjects or animals were involved. All figures were generated from original numerical calculations using open-source software.</w:t>
      </w:r>
    </w:p>
    <w:p>
      <w:pPr>
        <w:spacing w:after="80"/>
      </w:pPr>
    </w:p>
    <w:p>
      <w:pPr>
        <w:spacing w:before="240" w:after="120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Manuscript Details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Title: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Coherence Relativity I: Coherence Frames, Frame Invariance, and the Born Rule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Version: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v3 (March 21, 2026); original submission February 24, 2026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Zenodo preprint: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https://doi.org/10.5281/zenodo.18675342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Figures: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7 original publication-quality PDF figures + 1 structural diagram (Fig. 7)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References: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39 primary sources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Format: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LaTeX (RevTeX 4.2, accepted by Foundations of Physics)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Series: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Paper I of a planned series; Paper II will develop the full T_AB dynamics on M × Σ.</w:t>
      </w:r>
    </w:p>
    <w:p>
      <w:pPr>
        <w:spacing w:after="160"/>
      </w:pPr>
    </w:p>
    <w:p>
      <w:pPr>
        <w:pBdr>
          <w:bottom w:val="single" w:color="444444" w:sz="6" w:space="1"/>
        </w:pBdr>
        <w:spacing w:after="160"/>
      </w:pP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Thank you for considering this manuscript. The revisions described above have materially strengthened the presentation and corrected genuine errors; I am confident the current version is ready for peer review.</w:t>
      </w:r>
    </w:p>
    <w:p>
      <w:pPr>
        <w:spacing w:after="80"/>
      </w:pP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 look forward to your response.</w:t>
      </w:r>
    </w:p>
    <w:p>
      <w:pPr>
        <w:spacing w:after="160"/>
      </w:pP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Sincerely,</w:t>
      </w:r>
    </w:p>
    <w:p>
      <w:pPr>
        <w:spacing w:after="160"/>
      </w:pP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Bryan Kaufman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Independent Researcher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bryankaufman@mac.com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ORCID: 0009-0005-6838-2433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2026-03-21T23:59:49.111Z</dcterms:created>
  <dcterms:modified xsi:type="dcterms:W3CDTF">2026-03-21T23:59:49.112Z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