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Blindband — Terminal 3 ADK submission</w:t>
      </w:r>
    </w:p>
    <w:p>
      <w:r>
        <w:rPr>
          <w:b/>
          <w:color w:val="1A1C20"/>
          <w:sz w:val="21"/>
        </w:rPr>
        <w:t>Confidential pay benchmarking in a TEE, with the result anchored on Solana.</w:t>
      </w:r>
    </w:p>
    <w:tbl>
      <w:tblPr>
        <w:tblStyle w:val="TableGrid"/>
        <w:tblW w:type="auto" w:w="0"/>
        <w:jc w:val="center"/>
        <w:tblLook w:firstColumn="1" w:firstRow="1" w:lastColumn="0" w:lastRow="0" w:noHBand="0" w:noVBand="1" w:val="04A0"/>
      </w:tblPr>
      <w:tblGrid>
        <w:gridCol w:w="4680"/>
        <w:gridCol w:w="4680"/>
      </w:tblGrid>
      <w:tr>
        <w:tc>
          <w:tcPr>
            <w:tcW w:type="dxa" w:w="4680"/>
          </w:tcPr>
          <w:p>
            <w:r>
              <w:rPr>
                <w:b w:val="0"/>
                <w:color w:val="1A1C20"/>
                <w:sz w:val="19"/>
              </w:rPr>
              <w:t>Repository</w:t>
            </w:r>
          </w:p>
        </w:tc>
        <w:tc>
          <w:tcPr>
            <w:tcW w:type="dxa" w:w="4680"/>
          </w:tcPr>
          <w:p>
            <w:hyperlink r:id="rId9">
              <w:r>
                <w:rPr>
                  <w:color w:val="8F6210"/>
                  <w:u w:val="single"/>
                </w:rPr>
                <w:t>https://github.com/bryankwandou/blindband</w:t>
              </w:r>
            </w:hyperlink>
          </w:p>
        </w:tc>
      </w:tr>
      <w:tr>
        <w:tc>
          <w:tcPr>
            <w:tcW w:type="dxa" w:w="4680"/>
          </w:tcPr>
          <w:p>
            <w:r>
              <w:rPr>
                <w:b w:val="0"/>
                <w:color w:val="1A1C20"/>
                <w:sz w:val="19"/>
              </w:rPr>
              <w:t>Live site</w:t>
            </w:r>
          </w:p>
        </w:tc>
        <w:tc>
          <w:tcPr>
            <w:tcW w:type="dxa" w:w="4680"/>
          </w:tcPr>
          <w:p>
            <w:hyperlink r:id="rId10">
              <w:r>
                <w:rPr>
                  <w:color w:val="8F6210"/>
                  <w:u w:val="single"/>
                </w:rPr>
                <w:t>https://blindband.vercel.app</w:t>
              </w:r>
            </w:hyperlink>
            <w:r>
              <w:rPr>
                <w:b w:val="0"/>
                <w:color w:val="1A1C20"/>
                <w:sz w:val="19"/>
              </w:rPr>
              <w:t xml:space="preserve"> (English · Bahasa Indonesia · 中文)</w:t>
            </w:r>
          </w:p>
        </w:tc>
      </w:tr>
      <w:tr>
        <w:tc>
          <w:tcPr>
            <w:tcW w:type="dxa" w:w="4680"/>
          </w:tcPr>
          <w:p>
            <w:r>
              <w:rPr>
                <w:b w:val="0"/>
                <w:color w:val="1A1C20"/>
                <w:sz w:val="19"/>
              </w:rPr>
              <w:t>Mirror</w:t>
            </w:r>
          </w:p>
        </w:tc>
        <w:tc>
          <w:tcPr>
            <w:tcW w:type="dxa" w:w="4680"/>
          </w:tcPr>
          <w:p>
            <w:hyperlink r:id="rId11">
              <w:r>
                <w:rPr>
                  <w:color w:val="8F6210"/>
                  <w:u w:val="single"/>
                </w:rPr>
                <w:t>https://bryankwandou.github.io/blindband</w:t>
              </w:r>
            </w:hyperlink>
            <w:r>
              <w:rPr>
                <w:b w:val="0"/>
                <w:color w:val="1A1C20"/>
                <w:sz w:val="19"/>
              </w:rPr>
              <w:t xml:space="preserve"> — same commit, static export</w:t>
            </w:r>
          </w:p>
        </w:tc>
      </w:tr>
      <w:tr>
        <w:tc>
          <w:tcPr>
            <w:tcW w:type="dxa" w:w="4680"/>
          </w:tcPr>
          <w:p>
            <w:r>
              <w:rPr>
                <w:b w:val="0"/>
                <w:color w:val="1A1C20"/>
                <w:sz w:val="19"/>
              </w:rPr>
              <w:t>Demo video</w:t>
            </w:r>
          </w:p>
        </w:tc>
        <w:tc>
          <w:tcPr>
            <w:tcW w:type="dxa" w:w="4680"/>
          </w:tcPr>
          <w:p>
            <w:hyperlink r:id="rId12">
              <w:r>
                <w:rPr>
                  <w:color w:val="8F6210"/>
                  <w:u w:val="single"/>
                </w:rPr>
                <w:t>https://blindband.vercel.app/demo/blindband-demo.mp4</w:t>
              </w:r>
            </w:hyperlink>
            <w:r>
              <w:rPr>
                <w:b w:val="0"/>
                <w:color w:val="1A1C20"/>
                <w:sz w:val="19"/>
              </w:rPr>
              <w:t xml:space="preserve"> — 63 s, silent, captions on screen</w:t>
            </w:r>
          </w:p>
        </w:tc>
      </w:tr>
      <w:tr>
        <w:tc>
          <w:tcPr>
            <w:tcW w:type="dxa" w:w="4680"/>
          </w:tcPr>
          <w:p>
            <w:r>
              <w:rPr>
                <w:b w:val="0"/>
                <w:color w:val="1A1C20"/>
                <w:sz w:val="19"/>
              </w:rPr>
              <w:t>Tenant DID</w:t>
            </w:r>
          </w:p>
        </w:tc>
        <w:tc>
          <w:tcPr>
            <w:tcW w:type="dxa" w:w="4680"/>
          </w:tcPr>
          <w:p>
            <w:r>
              <w:rPr>
                <w:rFonts w:ascii="Consolas" w:hAnsi="Consolas"/>
                <w:color w:val="4C535B"/>
                <w:sz w:val="17"/>
              </w:rPr>
              <w:t>did:t3n:efd91540b28ceaccc876f9d1603d3f7f0d91d64d</w:t>
            </w:r>
          </w:p>
        </w:tc>
      </w:tr>
      <w:tr>
        <w:tc>
          <w:tcPr>
            <w:tcW w:type="dxa" w:w="4680"/>
          </w:tcPr>
          <w:p>
            <w:r>
              <w:rPr>
                <w:b w:val="0"/>
                <w:color w:val="1A1C20"/>
                <w:sz w:val="19"/>
              </w:rPr>
              <w:t>Contract</w:t>
            </w:r>
          </w:p>
        </w:tc>
        <w:tc>
          <w:tcPr>
            <w:tcW w:type="dxa" w:w="4680"/>
          </w:tcPr>
          <w:p>
            <w:r>
              <w:rPr>
                <w:rFonts w:ascii="Consolas" w:hAnsi="Consolas"/>
                <w:color w:val="4C535B"/>
                <w:sz w:val="17"/>
              </w:rPr>
              <w:t>z:efd91540…d91d64d:blindband</w:t>
            </w:r>
            <w:r>
              <w:rPr>
                <w:b w:val="0"/>
                <w:color w:val="1A1C20"/>
                <w:sz w:val="19"/>
              </w:rPr>
              <w:t xml:space="preserve"> v0.2.0, id 871</w:t>
            </w:r>
          </w:p>
        </w:tc>
      </w:tr>
      <w:tr>
        <w:tc>
          <w:tcPr>
            <w:tcW w:type="dxa" w:w="4680"/>
          </w:tcPr>
          <w:p>
            <w:r>
              <w:rPr>
                <w:b w:val="0"/>
                <w:color w:val="1A1C20"/>
                <w:sz w:val="19"/>
              </w:rPr>
              <w:t>Round</w:t>
            </w:r>
          </w:p>
        </w:tc>
        <w:tc>
          <w:tcPr>
            <w:tcW w:type="dxa" w:w="4680"/>
          </w:tcPr>
          <w:p>
            <w:r>
              <w:rPr>
                <w:rFonts w:ascii="Consolas" w:hAnsi="Consolas"/>
                <w:color w:val="4C535B"/>
                <w:sz w:val="17"/>
              </w:rPr>
              <w:t>2026-q1</w:t>
            </w:r>
            <w:r>
              <w:rPr>
                <w:b w:val="0"/>
                <w:color w:val="1A1C20"/>
                <w:sz w:val="19"/>
              </w:rPr>
              <w:t>, run 4 September 2026 on the sandbox</w:t>
            </w:r>
          </w:p>
        </w:tc>
      </w:tr>
      <w:tr>
        <w:tc>
          <w:tcPr>
            <w:tcW w:type="dxa" w:w="4680"/>
          </w:tcPr>
          <w:p>
            <w:r>
              <w:rPr>
                <w:b w:val="0"/>
                <w:color w:val="1A1C20"/>
                <w:sz w:val="19"/>
              </w:rPr>
              <w:t>Digest</w:t>
            </w:r>
          </w:p>
        </w:tc>
        <w:tc>
          <w:tcPr>
            <w:tcW w:type="dxa" w:w="4680"/>
          </w:tcPr>
          <w:p>
            <w:r>
              <w:rPr>
                <w:rFonts w:ascii="Consolas" w:hAnsi="Consolas"/>
                <w:color w:val="4C535B"/>
                <w:sz w:val="17"/>
              </w:rPr>
              <w:t>e4f528ad321626b2daf9b667188937609cd160a21a739d542eabd44a2f40beef</w:t>
            </w:r>
          </w:p>
        </w:tc>
      </w:tr>
      <w:tr>
        <w:tc>
          <w:tcPr>
            <w:tcW w:type="dxa" w:w="4680"/>
          </w:tcPr>
          <w:p>
            <w:r>
              <w:rPr>
                <w:b w:val="0"/>
                <w:color w:val="1A1C20"/>
                <w:sz w:val="19"/>
              </w:rPr>
              <w:t>Solana anchor</w:t>
            </w:r>
          </w:p>
        </w:tc>
        <w:tc>
          <w:tcPr>
            <w:tcW w:type="dxa" w:w="4680"/>
          </w:tcPr>
          <w:p>
            <w:hyperlink r:id="rId13">
              <w:r>
                <w:rPr>
                  <w:color w:val="8F6210"/>
                  <w:u w:val="single"/>
                </w:rPr>
                <w:t>5uczxVJU…AJE3Hf, devnet, slot 492821211</w:t>
              </w:r>
            </w:hyperlink>
          </w:p>
        </w:tc>
      </w:tr>
      <w:tr>
        <w:tc>
          <w:tcPr>
            <w:tcW w:type="dxa" w:w="4680"/>
          </w:tcPr>
          <w:p>
            <w:r>
              <w:rPr>
                <w:b w:val="0"/>
                <w:color w:val="1A1C20"/>
                <w:sz w:val="19"/>
              </w:rPr>
              <w:t>Continue or hand over</w:t>
            </w:r>
          </w:p>
        </w:tc>
        <w:tc>
          <w:tcPr>
            <w:tcW w:type="dxa" w:w="4680"/>
          </w:tcPr>
          <w:p>
            <w:r>
              <w:rPr>
                <w:b w:val="0"/>
                <w:color w:val="1A1C20"/>
                <w:sz w:val="19"/>
              </w:rPr>
              <w:t>I would like to keep running it — see the last section</w:t>
            </w:r>
          </w:p>
        </w:tc>
      </w:tr>
    </w:tbl>
    <w:p/>
    <w:p>
      <w:pPr>
        <w:pBdr>
          <w:bottom w:val="single" w:sz="6" w:color="B9B2A4"/>
        </w:pBdr>
      </w:pPr>
    </w:p>
    <w:p>
      <w:pPr>
        <w:pStyle w:val="Heading2"/>
      </w:pPr>
      <w:r>
        <w:t>1. The problem this agent is for</w:t>
      </w:r>
    </w:p>
    <w:p>
      <w:r>
        <w:rPr>
          <w:b w:val="0"/>
          <w:color w:val="1A1C20"/>
          <w:sz w:val="21"/>
        </w:rPr>
        <w:t>A group of firms wants to know what the market pays for a role. None will hand its payroll to a competitor, and none may lawfully swap *current* pay figures directly. The standard answer is a survey vendor: everyone mails a spreadsheet, the vendor promises confidentiality, and a PDF comes back months later. The members cannot see what happened in between, and neither can their regulators.</w:t>
      </w:r>
    </w:p>
    <w:p>
      <w:r>
        <w:rPr>
          <w:b w:val="0"/>
          <w:color w:val="1A1C20"/>
          <w:sz w:val="21"/>
        </w:rPr>
        <w:t xml:space="preserve">The rule that actually matters — that a benchmark must not become a channel for competitors to read each other's current pay — is enforced by nothing but an assurance. Competition authorities are specific about when such an exchange is defensible: a </w:t>
      </w:r>
      <w:r>
        <w:rPr>
          <w:b/>
          <w:color w:val="1A1C20"/>
          <w:sz w:val="21"/>
        </w:rPr>
        <w:t>neutral aggregator</w:t>
      </w:r>
      <w:r>
        <w:rPr>
          <w:b w:val="0"/>
          <w:color w:val="1A1C20"/>
          <w:sz w:val="21"/>
        </w:rPr>
        <w:t xml:space="preserve">, </w:t>
      </w:r>
      <w:r>
        <w:rPr>
          <w:b/>
          <w:color w:val="1A1C20"/>
          <w:sz w:val="21"/>
        </w:rPr>
        <w:t>historical data</w:t>
      </w:r>
      <w:r>
        <w:rPr>
          <w:b w:val="0"/>
          <w:color w:val="1A1C20"/>
          <w:sz w:val="21"/>
        </w:rPr>
        <w:t xml:space="preserve">, </w:t>
      </w:r>
      <w:r>
        <w:rPr>
          <w:b/>
          <w:color w:val="1A1C20"/>
          <w:sz w:val="21"/>
        </w:rPr>
        <w:t>enough independent contributors</w:t>
      </w:r>
      <w:r>
        <w:rPr>
          <w:b w:val="0"/>
          <w:color w:val="1A1C20"/>
          <w:sz w:val="21"/>
        </w:rPr>
        <w:t xml:space="preserve">, and </w:t>
      </w:r>
      <w:r>
        <w:rPr>
          <w:b/>
          <w:color w:val="1A1C20"/>
          <w:sz w:val="21"/>
        </w:rPr>
        <w:t>no single contributor dominating</w:t>
      </w:r>
      <w:r>
        <w:rPr>
          <w:b w:val="0"/>
          <w:color w:val="1A1C20"/>
          <w:sz w:val="21"/>
        </w:rPr>
        <w:t xml:space="preserve"> the statistic.</w:t>
      </w:r>
    </w:p>
    <w:p>
      <w:r>
        <w:rPr>
          <w:b w:val="0"/>
          <w:color w:val="1A1C20"/>
          <w:sz w:val="21"/>
        </w:rPr>
        <w:t>Blindband turns those four conditions into code that runs where nobody can watch it, and then publishes evidence that it did.</w:t>
      </w:r>
    </w:p>
    <w:p>
      <w:r>
        <w:rPr>
          <w:b w:val="0"/>
          <w:color w:val="1A1C20"/>
          <w:sz w:val="21"/>
        </w:rPr>
        <w:t>This is a real enterprise workflow with a real compliance constraint, which is why it was chosen over the obvious demo shapes. It is deliberately not another policy gateway or generic "private data" wrapper.</w:t>
      </w:r>
    </w:p>
    <w:p>
      <w:pPr>
        <w:pStyle w:val="Heading2"/>
      </w:pPr>
      <w:r>
        <w:t>2. What the enclave actually did</w:t>
      </w:r>
    </w:p>
    <w:p>
      <w:r>
        <w:rPr>
          <w:b w:val="0"/>
          <w:color w:val="1A1C20"/>
          <w:sz w:val="21"/>
        </w:rPr>
        <w:t xml:space="preserve">Round </w:t>
      </w:r>
      <w:r>
        <w:rPr>
          <w:rFonts w:ascii="Consolas" w:hAnsi="Consolas"/>
          <w:color w:val="4C535B"/>
          <w:sz w:val="19"/>
        </w:rPr>
        <w:t>2026-q1</w:t>
      </w:r>
      <w:r>
        <w:rPr>
          <w:b w:val="0"/>
          <w:color w:val="1A1C20"/>
          <w:sz w:val="21"/>
        </w:rPr>
        <w:t>: 117 rows from 9 firms, submitted in a single execution.</w:t>
      </w:r>
    </w:p>
    <w:p>
      <w:pPr>
        <w:jc w:val="center"/>
      </w:pPr>
      <w:r>
        <w:drawing>
          <wp:inline xmlns:a="http://schemas.openxmlformats.org/drawingml/2006/main" xmlns:pic="http://schemas.openxmlformats.org/drawingml/2006/picture">
            <wp:extent cx="5943600" cy="6868160"/>
            <wp:docPr id="1" name="Picture 1"/>
            <wp:cNvGraphicFramePr>
              <a:graphicFrameLocks noChangeAspect="1"/>
            </wp:cNvGraphicFramePr>
            <a:graphic>
              <a:graphicData uri="http://schemas.openxmlformats.org/drawingml/2006/picture">
                <pic:pic>
                  <pic:nvPicPr>
                    <pic:cNvPr id="0" name="04-round-en.png"/>
                    <pic:cNvPicPr/>
                  </pic:nvPicPr>
                  <pic:blipFill>
                    <a:blip r:embed="rId14"/>
                    <a:stretch>
                      <a:fillRect/>
                    </a:stretch>
                  </pic:blipFill>
                  <pic:spPr>
                    <a:xfrm>
                      <a:off x="0" y="0"/>
                      <a:ext cx="5943600" cy="6868160"/>
                    </a:xfrm>
                    <a:prstGeom prst="rect"/>
                  </pic:spPr>
                </pic:pic>
              </a:graphicData>
            </a:graphic>
          </wp:inline>
        </w:drawing>
      </w:r>
    </w:p>
    <w:p>
      <w:pPr>
        <w:jc w:val="center"/>
      </w:pPr>
      <w:r>
        <w:rPr>
          <w:i/>
          <w:color w:val="4C535B"/>
          <w:sz w:val="18"/>
        </w:rPr>
        <w:t>The published round</w:t>
      </w:r>
    </w:p>
    <w:p>
      <w:r>
        <w:rPr>
          <w:b/>
          <w:color w:val="1A1C20"/>
          <w:sz w:val="21"/>
        </w:rPr>
        <w:t>Published — 4 cells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F4F2EE"/>
          </w:tcPr>
          <w:p>
            <w:r>
              <w:rPr>
                <w:b/>
                <w:color w:val="1A1C20"/>
                <w:sz w:val="19"/>
              </w:rPr>
              <w:t>Cell</w:t>
            </w:r>
          </w:p>
        </w:tc>
        <w:tc>
          <w:tcPr>
            <w:tcW w:type="dxa" w:w="1337"/>
            <w:shd w:val="clear" w:color="auto" w:fill="F4F2EE"/>
          </w:tcPr>
          <w:p>
            <w:r>
              <w:rPr>
                <w:b/>
                <w:color w:val="1A1C20"/>
                <w:sz w:val="19"/>
              </w:rPr>
              <w:t>P10</w:t>
            </w:r>
          </w:p>
        </w:tc>
        <w:tc>
          <w:tcPr>
            <w:tcW w:type="dxa" w:w="1337"/>
            <w:shd w:val="clear" w:color="auto" w:fill="F4F2EE"/>
          </w:tcPr>
          <w:p>
            <w:r>
              <w:rPr>
                <w:b/>
                <w:color w:val="1A1C20"/>
                <w:sz w:val="19"/>
              </w:rPr>
              <w:t>Median</w:t>
            </w:r>
          </w:p>
        </w:tc>
        <w:tc>
          <w:tcPr>
            <w:tcW w:type="dxa" w:w="1337"/>
            <w:shd w:val="clear" w:color="auto" w:fill="F4F2EE"/>
          </w:tcPr>
          <w:p>
            <w:r>
              <w:rPr>
                <w:b/>
                <w:color w:val="1A1C20"/>
                <w:sz w:val="19"/>
              </w:rPr>
              <w:t>P90</w:t>
            </w:r>
          </w:p>
        </w:tc>
        <w:tc>
          <w:tcPr>
            <w:tcW w:type="dxa" w:w="1337"/>
            <w:shd w:val="clear" w:color="auto" w:fill="F4F2EE"/>
          </w:tcPr>
          <w:p>
            <w:r>
              <w:rPr>
                <w:b/>
                <w:color w:val="1A1C20"/>
                <w:sz w:val="19"/>
              </w:rPr>
              <w:t>Firms</w:t>
            </w:r>
          </w:p>
        </w:tc>
        <w:tc>
          <w:tcPr>
            <w:tcW w:type="dxa" w:w="1337"/>
            <w:shd w:val="clear" w:color="auto" w:fill="F4F2EE"/>
          </w:tcPr>
          <w:p>
            <w:r>
              <w:rPr>
                <w:b/>
                <w:color w:val="1A1C20"/>
                <w:sz w:val="19"/>
              </w:rPr>
              <w:t>Rows</w:t>
            </w:r>
          </w:p>
        </w:tc>
        <w:tc>
          <w:tcPr>
            <w:tcW w:type="dxa" w:w="1337"/>
            <w:shd w:val="clear" w:color="auto" w:fill="F4F2EE"/>
          </w:tcPr>
          <w:p>
            <w:r>
              <w:rPr>
                <w:b/>
                <w:color w:val="1A1C20"/>
                <w:sz w:val="19"/>
              </w:rPr>
              <w:t>Top firm</w:t>
            </w:r>
          </w:p>
        </w:tc>
      </w:tr>
      <w:tr>
        <w:tc>
          <w:tcPr>
            <w:tcW w:type="dxa" w:w="1337"/>
          </w:tcPr>
          <w:p>
            <w:r>
              <w:rPr>
                <w:b w:val="0"/>
                <w:color w:val="1A1C20"/>
                <w:sz w:val="19"/>
              </w:rPr>
              <w:t>Backend engineer L4</w:t>
            </w:r>
          </w:p>
        </w:tc>
        <w:tc>
          <w:tcPr>
            <w:tcW w:type="dxa" w:w="1337"/>
          </w:tcPr>
          <w:p>
            <w:r>
              <w:rPr>
                <w:b w:val="0"/>
                <w:color w:val="1A1C20"/>
                <w:sz w:val="19"/>
              </w:rPr>
              <w:t>$8,316</w:t>
            </w:r>
          </w:p>
        </w:tc>
        <w:tc>
          <w:tcPr>
            <w:tcW w:type="dxa" w:w="1337"/>
          </w:tcPr>
          <w:p>
            <w:r>
              <w:rPr>
                <w:b w:val="0"/>
                <w:color w:val="1A1C20"/>
                <w:sz w:val="19"/>
              </w:rPr>
              <w:t>$9,344</w:t>
            </w:r>
          </w:p>
        </w:tc>
        <w:tc>
          <w:tcPr>
            <w:tcW w:type="dxa" w:w="1337"/>
          </w:tcPr>
          <w:p>
            <w:r>
              <w:rPr>
                <w:b w:val="0"/>
                <w:color w:val="1A1C20"/>
                <w:sz w:val="19"/>
              </w:rPr>
              <w:t>$10,870</w:t>
            </w:r>
          </w:p>
        </w:tc>
        <w:tc>
          <w:tcPr>
            <w:tcW w:type="dxa" w:w="1337"/>
          </w:tcPr>
          <w:p>
            <w:r>
              <w:rPr>
                <w:b w:val="0"/>
                <w:color w:val="1A1C20"/>
                <w:sz w:val="19"/>
              </w:rPr>
              <w:t>9</w:t>
            </w:r>
          </w:p>
        </w:tc>
        <w:tc>
          <w:tcPr>
            <w:tcW w:type="dxa" w:w="1337"/>
          </w:tcPr>
          <w:p>
            <w:r>
              <w:rPr>
                <w:b w:val="0"/>
                <w:color w:val="1A1C20"/>
                <w:sz w:val="19"/>
              </w:rPr>
              <w:t>25</w:t>
            </w:r>
          </w:p>
        </w:tc>
        <w:tc>
          <w:tcPr>
            <w:tcW w:type="dxa" w:w="1337"/>
          </w:tcPr>
          <w:p>
            <w:r>
              <w:rPr>
                <w:b w:val="0"/>
                <w:color w:val="1A1C20"/>
                <w:sz w:val="19"/>
              </w:rPr>
              <w:t>16.00%</w:t>
            </w:r>
          </w:p>
        </w:tc>
      </w:tr>
      <w:tr>
        <w:tc>
          <w:tcPr>
            <w:tcW w:type="dxa" w:w="1337"/>
          </w:tcPr>
          <w:p>
            <w:r>
              <w:rPr>
                <w:b w:val="0"/>
                <w:color w:val="1A1C20"/>
                <w:sz w:val="19"/>
              </w:rPr>
              <w:t>Backend engineer L5</w:t>
            </w:r>
          </w:p>
        </w:tc>
        <w:tc>
          <w:tcPr>
            <w:tcW w:type="dxa" w:w="1337"/>
          </w:tcPr>
          <w:p>
            <w:r>
              <w:rPr>
                <w:b w:val="0"/>
                <w:color w:val="1A1C20"/>
                <w:sz w:val="19"/>
              </w:rPr>
              <w:t>$12,184</w:t>
            </w:r>
          </w:p>
        </w:tc>
        <w:tc>
          <w:tcPr>
            <w:tcW w:type="dxa" w:w="1337"/>
          </w:tcPr>
          <w:p>
            <w:r>
              <w:rPr>
                <w:b w:val="0"/>
                <w:color w:val="1A1C20"/>
                <w:sz w:val="19"/>
              </w:rPr>
              <w:t>$14,627</w:t>
            </w:r>
          </w:p>
        </w:tc>
        <w:tc>
          <w:tcPr>
            <w:tcW w:type="dxa" w:w="1337"/>
          </w:tcPr>
          <w:p>
            <w:r>
              <w:rPr>
                <w:b w:val="0"/>
                <w:color w:val="1A1C20"/>
                <w:sz w:val="19"/>
              </w:rPr>
              <w:t>$16,282</w:t>
            </w:r>
          </w:p>
        </w:tc>
        <w:tc>
          <w:tcPr>
            <w:tcW w:type="dxa" w:w="1337"/>
          </w:tcPr>
          <w:p>
            <w:r>
              <w:rPr>
                <w:b w:val="0"/>
                <w:color w:val="1A1C20"/>
                <w:sz w:val="19"/>
              </w:rPr>
              <w:t>9</w:t>
            </w:r>
          </w:p>
        </w:tc>
        <w:tc>
          <w:tcPr>
            <w:tcW w:type="dxa" w:w="1337"/>
          </w:tcPr>
          <w:p>
            <w:r>
              <w:rPr>
                <w:b w:val="0"/>
                <w:color w:val="1A1C20"/>
                <w:sz w:val="19"/>
              </w:rPr>
              <w:t>32</w:t>
            </w:r>
          </w:p>
        </w:tc>
        <w:tc>
          <w:tcPr>
            <w:tcW w:type="dxa" w:w="1337"/>
          </w:tcPr>
          <w:p>
            <w:r>
              <w:rPr>
                <w:b w:val="0"/>
                <w:color w:val="1A1C20"/>
                <w:sz w:val="19"/>
              </w:rPr>
              <w:t>15.62%</w:t>
            </w:r>
          </w:p>
        </w:tc>
      </w:tr>
      <w:tr>
        <w:tc>
          <w:tcPr>
            <w:tcW w:type="dxa" w:w="1337"/>
          </w:tcPr>
          <w:p>
            <w:r>
              <w:rPr>
                <w:b w:val="0"/>
                <w:color w:val="1A1C20"/>
                <w:sz w:val="19"/>
              </w:rPr>
              <w:t>Backend engineer L6</w:t>
            </w:r>
          </w:p>
        </w:tc>
        <w:tc>
          <w:tcPr>
            <w:tcW w:type="dxa" w:w="1337"/>
          </w:tcPr>
          <w:p>
            <w:r>
              <w:rPr>
                <w:b w:val="0"/>
                <w:color w:val="1A1C20"/>
                <w:sz w:val="19"/>
              </w:rPr>
              <w:t>$16,152</w:t>
            </w:r>
          </w:p>
        </w:tc>
        <w:tc>
          <w:tcPr>
            <w:tcW w:type="dxa" w:w="1337"/>
          </w:tcPr>
          <w:p>
            <w:r>
              <w:rPr>
                <w:b w:val="0"/>
                <w:color w:val="1A1C20"/>
                <w:sz w:val="19"/>
              </w:rPr>
              <w:t>$18,752</w:t>
            </w:r>
          </w:p>
        </w:tc>
        <w:tc>
          <w:tcPr>
            <w:tcW w:type="dxa" w:w="1337"/>
          </w:tcPr>
          <w:p>
            <w:r>
              <w:rPr>
                <w:b w:val="0"/>
                <w:color w:val="1A1C20"/>
                <w:sz w:val="19"/>
              </w:rPr>
              <w:t>$20,963</w:t>
            </w:r>
          </w:p>
        </w:tc>
        <w:tc>
          <w:tcPr>
            <w:tcW w:type="dxa" w:w="1337"/>
          </w:tcPr>
          <w:p>
            <w:r>
              <w:rPr>
                <w:b w:val="0"/>
                <w:color w:val="1A1C20"/>
                <w:sz w:val="19"/>
              </w:rPr>
              <w:t>7</w:t>
            </w:r>
          </w:p>
        </w:tc>
        <w:tc>
          <w:tcPr>
            <w:tcW w:type="dxa" w:w="1337"/>
          </w:tcPr>
          <w:p>
            <w:r>
              <w:rPr>
                <w:b w:val="0"/>
                <w:color w:val="1A1C20"/>
                <w:sz w:val="19"/>
              </w:rPr>
              <w:t>22</w:t>
            </w:r>
          </w:p>
        </w:tc>
        <w:tc>
          <w:tcPr>
            <w:tcW w:type="dxa" w:w="1337"/>
          </w:tcPr>
          <w:p>
            <w:r>
              <w:rPr>
                <w:b w:val="0"/>
                <w:color w:val="1A1C20"/>
                <w:sz w:val="19"/>
              </w:rPr>
              <w:t>18.18%</w:t>
            </w:r>
          </w:p>
        </w:tc>
      </w:tr>
      <w:tr>
        <w:tc>
          <w:tcPr>
            <w:tcW w:type="dxa" w:w="1337"/>
          </w:tcPr>
          <w:p>
            <w:r>
              <w:rPr>
                <w:b w:val="0"/>
                <w:color w:val="1A1C20"/>
                <w:sz w:val="19"/>
              </w:rPr>
              <w:t>Product designer L4</w:t>
            </w:r>
          </w:p>
        </w:tc>
        <w:tc>
          <w:tcPr>
            <w:tcW w:type="dxa" w:w="1337"/>
          </w:tcPr>
          <w:p>
            <w:r>
              <w:rPr>
                <w:b w:val="0"/>
                <w:color w:val="1A1C20"/>
                <w:sz w:val="19"/>
              </w:rPr>
              <w:t>$6,788</w:t>
            </w:r>
          </w:p>
        </w:tc>
        <w:tc>
          <w:tcPr>
            <w:tcW w:type="dxa" w:w="1337"/>
          </w:tcPr>
          <w:p>
            <w:r>
              <w:rPr>
                <w:b w:val="0"/>
                <w:color w:val="1A1C20"/>
                <w:sz w:val="19"/>
              </w:rPr>
              <w:t>$7,981</w:t>
            </w:r>
          </w:p>
        </w:tc>
        <w:tc>
          <w:tcPr>
            <w:tcW w:type="dxa" w:w="1337"/>
          </w:tcPr>
          <w:p>
            <w:r>
              <w:rPr>
                <w:b w:val="0"/>
                <w:color w:val="1A1C20"/>
                <w:sz w:val="19"/>
              </w:rPr>
              <w:t>$9,208</w:t>
            </w:r>
          </w:p>
        </w:tc>
        <w:tc>
          <w:tcPr>
            <w:tcW w:type="dxa" w:w="1337"/>
          </w:tcPr>
          <w:p>
            <w:r>
              <w:rPr>
                <w:b w:val="0"/>
                <w:color w:val="1A1C20"/>
                <w:sz w:val="19"/>
              </w:rPr>
              <w:t>6</w:t>
            </w:r>
          </w:p>
        </w:tc>
        <w:tc>
          <w:tcPr>
            <w:tcW w:type="dxa" w:w="1337"/>
          </w:tcPr>
          <w:p>
            <w:r>
              <w:rPr>
                <w:b w:val="0"/>
                <w:color w:val="1A1C20"/>
                <w:sz w:val="19"/>
              </w:rPr>
              <w:t>19</w:t>
            </w:r>
          </w:p>
        </w:tc>
        <w:tc>
          <w:tcPr>
            <w:tcW w:type="dxa" w:w="1337"/>
          </w:tcPr>
          <w:p>
            <w:r>
              <w:rPr>
                <w:b w:val="0"/>
                <w:color w:val="1A1C20"/>
                <w:sz w:val="19"/>
              </w:rPr>
              <w:t>21.05%</w:t>
            </w:r>
          </w:p>
        </w:tc>
      </w:tr>
    </w:tbl>
    <w:p/>
    <w:p>
      <w:r>
        <w:rPr>
          <w:b/>
          <w:color w:val="1A1C20"/>
          <w:sz w:val="21"/>
        </w:rPr>
        <w:t>Withheld — 2 cells, on two different gates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F4F2EE"/>
          </w:tcPr>
          <w:p>
            <w:r>
              <w:rPr>
                <w:b/>
                <w:color w:val="1A1C20"/>
                <w:sz w:val="19"/>
              </w:rPr>
              <w:t>Cell</w:t>
            </w:r>
          </w:p>
        </w:tc>
        <w:tc>
          <w:tcPr>
            <w:tcW w:type="dxa" w:w="3120"/>
            <w:shd w:val="clear" w:color="auto" w:fill="F4F2EE"/>
          </w:tcPr>
          <w:p>
            <w:r>
              <w:rPr>
                <w:b/>
                <w:color w:val="1A1C20"/>
                <w:sz w:val="19"/>
              </w:rPr>
              <w:t>Reason</w:t>
            </w:r>
          </w:p>
        </w:tc>
        <w:tc>
          <w:tcPr>
            <w:tcW w:type="dxa" w:w="3120"/>
            <w:shd w:val="clear" w:color="auto" w:fill="F4F2EE"/>
          </w:tcPr>
          <w:p>
            <w:r>
              <w:rPr>
                <w:b/>
                <w:color w:val="1A1C20"/>
                <w:sz w:val="19"/>
              </w:rPr>
              <w:t>Firms / rows</w:t>
            </w:r>
          </w:p>
        </w:tc>
      </w:tr>
      <w:tr>
        <w:tc>
          <w:tcPr>
            <w:tcW w:type="dxa" w:w="3120"/>
          </w:tcPr>
          <w:p>
            <w:r>
              <w:rPr>
                <w:b w:val="0"/>
                <w:color w:val="1A1C20"/>
                <w:sz w:val="19"/>
              </w:rPr>
              <w:t>Data scientist L5</w:t>
            </w:r>
          </w:p>
        </w:tc>
        <w:tc>
          <w:tcPr>
            <w:tcW w:type="dxa" w:w="3120"/>
          </w:tcPr>
          <w:p>
            <w:r>
              <w:rPr>
                <w:rFonts w:ascii="Consolas" w:hAnsi="Consolas"/>
                <w:color w:val="4C535B"/>
                <w:sz w:val="17"/>
              </w:rPr>
              <w:t>contributor_concentration_exceeded</w:t>
            </w:r>
          </w:p>
        </w:tc>
        <w:tc>
          <w:tcPr>
            <w:tcW w:type="dxa" w:w="3120"/>
          </w:tcPr>
          <w:p>
            <w:r>
              <w:rPr>
                <w:b w:val="0"/>
                <w:color w:val="1A1C20"/>
                <w:sz w:val="19"/>
              </w:rPr>
              <w:t>5 / 13</w:t>
            </w:r>
          </w:p>
        </w:tc>
      </w:tr>
      <w:tr>
        <w:tc>
          <w:tcPr>
            <w:tcW w:type="dxa" w:w="3120"/>
          </w:tcPr>
          <w:p>
            <w:r>
              <w:rPr>
                <w:b w:val="0"/>
                <w:color w:val="1A1C20"/>
                <w:sz w:val="19"/>
              </w:rPr>
              <w:t>Engineering manager M2</w:t>
            </w:r>
          </w:p>
        </w:tc>
        <w:tc>
          <w:tcPr>
            <w:tcW w:type="dxa" w:w="3120"/>
          </w:tcPr>
          <w:p>
            <w:r>
              <w:rPr>
                <w:rFonts w:ascii="Consolas" w:hAnsi="Consolas"/>
                <w:color w:val="4C535B"/>
                <w:sz w:val="17"/>
              </w:rPr>
              <w:t>below_contributor_floor</w:t>
            </w:r>
          </w:p>
        </w:tc>
        <w:tc>
          <w:tcPr>
            <w:tcW w:type="dxa" w:w="3120"/>
          </w:tcPr>
          <w:p>
            <w:r>
              <w:rPr>
                <w:b w:val="0"/>
                <w:color w:val="1A1C20"/>
                <w:sz w:val="19"/>
              </w:rPr>
              <w:t>3 / 6</w:t>
            </w:r>
          </w:p>
        </w:tc>
      </w:tr>
    </w:tbl>
    <w:p/>
    <w:p>
      <w:r>
        <w:rPr>
          <w:b w:val="0"/>
          <w:color w:val="1A1C20"/>
          <w:sz w:val="21"/>
        </w:rPr>
        <w:t>The withheld cells are the point. Both had enough data to compute; the enclave computed them and then declined to emit the numbers. One failed the concentration ceiling, the other the contributor floor — so the demonstration shows two independent gates firing rather than one rule repeated.</w:t>
      </w:r>
    </w:p>
    <w:p>
      <w:pPr>
        <w:pStyle w:val="Heading2"/>
      </w:pPr>
      <w:r>
        <w:t>3. The gates</w:t>
      </w:r>
    </w:p>
    <w:p>
      <w:r>
        <w:rPr>
          <w:b w:val="0"/>
          <w:color w:val="1A1C20"/>
          <w:sz w:val="21"/>
        </w:rPr>
        <w:t>Compiled into the contract as constants, named in every published round.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F4F2EE"/>
          </w:tcPr>
          <w:p>
            <w:r>
              <w:rPr>
                <w:b/>
                <w:color w:val="1A1C20"/>
                <w:sz w:val="19"/>
              </w:rPr>
              <w:t>Gate</w:t>
            </w:r>
          </w:p>
        </w:tc>
        <w:tc>
          <w:tcPr>
            <w:tcW w:type="dxa" w:w="3120"/>
            <w:shd w:val="clear" w:color="auto" w:fill="F4F2EE"/>
          </w:tcPr>
          <w:p>
            <w:r>
              <w:rPr>
                <w:b/>
                <w:color w:val="1A1C20"/>
                <w:sz w:val="19"/>
              </w:rPr>
              <w:t>Rule</w:t>
            </w:r>
          </w:p>
        </w:tc>
        <w:tc>
          <w:tcPr>
            <w:tcW w:type="dxa" w:w="3120"/>
            <w:shd w:val="clear" w:color="auto" w:fill="F4F2EE"/>
          </w:tcPr>
          <w:p>
            <w:r>
              <w:rPr>
                <w:b/>
                <w:color w:val="1A1C20"/>
                <w:sz w:val="19"/>
              </w:rPr>
              <w:t>Where</w:t>
            </w:r>
          </w:p>
        </w:tc>
      </w:tr>
      <w:tr>
        <w:tc>
          <w:tcPr>
            <w:tcW w:type="dxa" w:w="3120"/>
          </w:tcPr>
          <w:p>
            <w:r>
              <w:rPr>
                <w:b w:val="0"/>
                <w:color w:val="1A1C20"/>
                <w:sz w:val="19"/>
              </w:rPr>
              <w:t>Neutral aggregator</w:t>
            </w:r>
          </w:p>
        </w:tc>
        <w:tc>
          <w:tcPr>
            <w:tcW w:type="dxa" w:w="3120"/>
          </w:tcPr>
          <w:p>
            <w:r>
              <w:rPr>
                <w:b w:val="0"/>
                <w:color w:val="1A1C20"/>
                <w:sz w:val="19"/>
              </w:rPr>
              <w:t>No member sees another's rows</w:t>
            </w:r>
          </w:p>
        </w:tc>
        <w:tc>
          <w:tcPr>
            <w:tcW w:type="dxa" w:w="3120"/>
          </w:tcPr>
          <w:p>
            <w:r>
              <w:rPr>
                <w:rFonts w:ascii="Consolas" w:hAnsi="Consolas"/>
                <w:color w:val="4C535B"/>
                <w:sz w:val="17"/>
              </w:rPr>
              <w:t>ledger.rs</w:t>
            </w:r>
            <w:r>
              <w:rPr>
                <w:b w:val="0"/>
                <w:color w:val="1A1C20"/>
                <w:sz w:val="19"/>
              </w:rPr>
              <w:t xml:space="preserve"> — the map ACL names the contract identity alone; no function returns a row</w:t>
            </w:r>
          </w:p>
        </w:tc>
      </w:tr>
      <w:tr>
        <w:tc>
          <w:tcPr>
            <w:tcW w:type="dxa" w:w="3120"/>
          </w:tcPr>
          <w:p>
            <w:r>
              <w:rPr>
                <w:b w:val="0"/>
                <w:color w:val="1A1C20"/>
                <w:sz w:val="19"/>
              </w:rPr>
              <w:t>Historical data</w:t>
            </w:r>
          </w:p>
        </w:tc>
        <w:tc>
          <w:tcPr>
            <w:tcW w:type="dxa" w:w="3120"/>
          </w:tcPr>
          <w:p>
            <w:r>
              <w:rPr>
                <w:b w:val="0"/>
                <w:color w:val="1A1C20"/>
                <w:sz w:val="19"/>
              </w:rPr>
              <w:t>Effective date ≥ 91 days old</w:t>
            </w:r>
          </w:p>
        </w:tc>
        <w:tc>
          <w:tcPr>
            <w:tcW w:type="dxa" w:w="3120"/>
          </w:tcPr>
          <w:p>
            <w:r>
              <w:rPr>
                <w:rFonts w:ascii="Consolas" w:hAnsi="Consolas"/>
                <w:color w:val="4C535B"/>
                <w:sz w:val="17"/>
              </w:rPr>
              <w:t>MIN_DATA_AGE_SECS</w:t>
            </w:r>
          </w:p>
        </w:tc>
      </w:tr>
      <w:tr>
        <w:tc>
          <w:tcPr>
            <w:tcW w:type="dxa" w:w="3120"/>
          </w:tcPr>
          <w:p>
            <w:r>
              <w:rPr>
                <w:b w:val="0"/>
                <w:color w:val="1A1C20"/>
                <w:sz w:val="19"/>
              </w:rPr>
              <w:t>Contributor floor</w:t>
            </w:r>
          </w:p>
        </w:tc>
        <w:tc>
          <w:tcPr>
            <w:tcW w:type="dxa" w:w="3120"/>
          </w:tcPr>
          <w:p>
            <w:r>
              <w:rPr>
                <w:b w:val="0"/>
                <w:color w:val="1A1C20"/>
                <w:sz w:val="19"/>
              </w:rPr>
              <w:t>≥ 5 firms and ≥ 10 rows per cell</w:t>
            </w:r>
          </w:p>
        </w:tc>
        <w:tc>
          <w:tcPr>
            <w:tcW w:type="dxa" w:w="3120"/>
          </w:tcPr>
          <w:p>
            <w:r>
              <w:rPr>
                <w:rFonts w:ascii="Consolas" w:hAnsi="Consolas"/>
                <w:color w:val="4C535B"/>
                <w:sz w:val="17"/>
              </w:rPr>
              <w:t>MIN_CONTRIBUTORS_PER_CELL</w:t>
            </w:r>
            <w:r>
              <w:rPr>
                <w:b w:val="0"/>
                <w:color w:val="1A1C20"/>
                <w:sz w:val="19"/>
              </w:rPr>
              <w:t xml:space="preserve">, </w:t>
            </w:r>
            <w:r>
              <w:rPr>
                <w:rFonts w:ascii="Consolas" w:hAnsi="Consolas"/>
                <w:color w:val="4C535B"/>
                <w:sz w:val="17"/>
              </w:rPr>
              <w:t>MIN_RECORDS_PER_CELL</w:t>
            </w:r>
          </w:p>
        </w:tc>
      </w:tr>
      <w:tr>
        <w:tc>
          <w:tcPr>
            <w:tcW w:type="dxa" w:w="3120"/>
          </w:tcPr>
          <w:p>
            <w:r>
              <w:rPr>
                <w:b w:val="0"/>
                <w:color w:val="1A1C20"/>
                <w:sz w:val="19"/>
              </w:rPr>
              <w:t>Concentration ceiling</w:t>
            </w:r>
          </w:p>
        </w:tc>
        <w:tc>
          <w:tcPr>
            <w:tcW w:type="dxa" w:w="3120"/>
          </w:tcPr>
          <w:p>
            <w:r>
              <w:rPr>
                <w:b w:val="0"/>
                <w:color w:val="1A1C20"/>
                <w:sz w:val="19"/>
              </w:rPr>
              <w:t>No firm above 25% of a cell</w:t>
            </w:r>
          </w:p>
        </w:tc>
        <w:tc>
          <w:tcPr>
            <w:tcW w:type="dxa" w:w="3120"/>
          </w:tcPr>
          <w:p>
            <w:r>
              <w:rPr>
                <w:rFonts w:ascii="Consolas" w:hAnsi="Consolas"/>
                <w:color w:val="4C535B"/>
                <w:sz w:val="17"/>
              </w:rPr>
              <w:t>MAX_CONTRIBUTOR_SHARE_BPS</w:t>
            </w:r>
          </w:p>
        </w:tc>
      </w:tr>
      <w:tr>
        <w:tc>
          <w:tcPr>
            <w:tcW w:type="dxa" w:w="3120"/>
          </w:tcPr>
          <w:p>
            <w:r>
              <w:rPr>
                <w:b w:val="0"/>
                <w:color w:val="1A1C20"/>
                <w:sz w:val="19"/>
              </w:rPr>
              <w:t>Differencing guard</w:t>
            </w:r>
          </w:p>
        </w:tc>
        <w:tc>
          <w:tcPr>
            <w:tcW w:type="dxa" w:w="3120"/>
          </w:tcPr>
          <w:p>
            <w:r>
              <w:rPr>
                <w:b w:val="0"/>
                <w:color w:val="1A1C20"/>
                <w:sz w:val="19"/>
              </w:rPr>
              <w:t>A cell is republished only if its contributor set is unchanged from every round it appeared in, or differs from each by ≥ 2 firms</w:t>
            </w:r>
          </w:p>
        </w:tc>
        <w:tc>
          <w:tcPr>
            <w:tcW w:type="dxa" w:w="3120"/>
          </w:tcPr>
          <w:p>
            <w:r>
              <w:rPr>
                <w:rFonts w:ascii="Consolas" w:hAnsi="Consolas"/>
                <w:color w:val="4C535B"/>
                <w:sz w:val="17"/>
              </w:rPr>
              <w:t>MIN_CONTRIBUTOR_CHURN</w:t>
            </w:r>
          </w:p>
        </w:tc>
      </w:tr>
    </w:tbl>
    <w:p/>
    <w:p>
      <w:r>
        <w:rPr>
          <w:b w:val="0"/>
          <w:color w:val="1A1C20"/>
          <w:sz w:val="21"/>
        </w:rPr>
        <w:t xml:space="preserve">The first four judge a round on its own. The fifth judges it against every round before it, and the published round did not face it: 2026-q1 was the first, so it carries </w:t>
      </w:r>
      <w:r>
        <w:rPr>
          <w:rFonts w:ascii="Consolas" w:hAnsi="Consolas"/>
          <w:color w:val="4C535B"/>
          <w:sz w:val="19"/>
        </w:rPr>
        <w:t>blindband-safe-harbour/v1</w:t>
      </w:r>
      <w:r>
        <w:rPr>
          <w:b w:val="0"/>
          <w:color w:val="1A1C20"/>
          <w:sz w:val="21"/>
        </w:rPr>
        <w:t xml:space="preserve"> and cleared four. Every round after it carries v2 and faces five.</w:t>
      </w:r>
    </w:p>
    <w:p>
      <w:r>
        <w:rPr>
          <w:b w:val="0"/>
          <w:color w:val="1A1C20"/>
          <w:sz w:val="21"/>
        </w:rPr>
        <w:t>Blindband is engineering, not legal advice. The gates follow published safe-harbour guidance; fit to a specific consortium is a question for counsel.</w:t>
      </w:r>
    </w:p>
    <w:p>
      <w:pPr>
        <w:pStyle w:val="Heading2"/>
      </w:pPr>
      <w:r>
        <w:t>4. What you have to trust, and what you do not</w:t>
      </w:r>
    </w:p>
    <w:p>
      <w:r>
        <w:rPr>
          <w:b w:val="0"/>
          <w:color w:val="1A1C20"/>
          <w:sz w:val="21"/>
        </w:rPr>
        <w:t>The gates are the interesting part of this system, and they are not the whole of what a reader should weigh. This section is the part a sceptic would ask for and most write-ups leave out.</w:t>
      </w:r>
    </w:p>
    <w:p>
      <w:r>
        <w:rPr>
          <w:b/>
          <w:color w:val="1A1C20"/>
          <w:sz w:val="21"/>
        </w:rPr>
        <w:t>What the design does not ask you to trust.</w:t>
      </w:r>
      <w:r>
        <w:rPr>
          <w:b w:val="0"/>
          <w:color w:val="1A1C20"/>
          <w:sz w:val="21"/>
        </w:rPr>
        <w:t xml:space="preserve"> That the published numbers follow from the submissions: recompute them, from a second implementation, in one command. That the round was not swapped for a friendlier one afterwards: the digest is on devnet, written before you asked and not by anything of ours. That your own row was counted: the receipt proves inclusion without revealing the value.</w:t>
      </w:r>
    </w:p>
    <w:p>
      <w:r>
        <w:rPr>
          <w:b/>
          <w:color w:val="1A1C20"/>
          <w:sz w:val="21"/>
        </w:rPr>
        <w:t>What it does ask you to trust, plainly.</w:t>
      </w:r>
      <w:r>
        <w:rPr>
          <w:b w:val="0"/>
          <w:color w:val="1A1C20"/>
          <w:sz w:val="21"/>
        </w:rPr>
        <w:t xml:space="preserve"> The enclave. If the TEE is broken — a side channel, a runtime bug, a compromised node — the sealed submissions are readable and nothing in this design would notice. Anchoring protects the output from substitution; it does nothing whatsoever for the inputs. This is not zero-knowledge and it is not multi-party computation. It is a hardware assumption plus an operator who has no code path to the rows, and the honest name for it is: trust the enclave, and trust that the tenant registered the contract you can read.</w:t>
      </w:r>
    </w:p>
    <w:p>
      <w:r>
        <w:rPr>
          <w:b w:val="0"/>
          <w:color w:val="1A1C20"/>
          <w:sz w:val="21"/>
        </w:rPr>
        <w:t>Today that assumption cannot even be checked. BB-02 means the sandbox trust manifest does not parse, so the SDK cannot attest the node it is talking to and every run prints the warning rather than hiding it. The one property a confidential-computing platform sells is, on its own sandbox, the one property currently unverifiable. That is the largest single gap in this submission and it is not closable from the client side.</w:t>
      </w:r>
    </w:p>
    <w:p>
      <w:r>
        <w:rPr>
          <w:b/>
          <w:color w:val="1A1C20"/>
          <w:sz w:val="21"/>
        </w:rPr>
        <w:t>What an outsider can check, and what they cannot.</w:t>
      </w:r>
      <w:r>
        <w:rPr>
          <w:b w:val="0"/>
          <w:color w:val="1A1C20"/>
          <w:sz w:val="21"/>
        </w:rPr>
        <w:t xml:space="preserve"> Anyone can recompute this round because its submissions are published — they are synthetic, generated for the demonstration, and no real payroll has ever gone near this. A real consortium would never publish them, and then an outsider can check only that the published bytes hash to the anchored digest, while each *member* can check their own row was counted. There is no construction here by which a stranger verifies an aggregate over data they are not allowed to see. That is inherent rather than an omission: it is the reason the enclave is in the design at all.</w:t>
      </w:r>
    </w:p>
    <w:p>
      <w:r>
        <w:rPr>
          <w:b/>
          <w:color w:val="1A1C20"/>
          <w:sz w:val="21"/>
        </w:rPr>
        <w:t>The gates are not differential privacy.</w:t>
      </w:r>
      <w:r>
        <w:rPr>
          <w:b w:val="0"/>
          <w:color w:val="1A1C20"/>
          <w:sz w:val="21"/>
        </w:rPr>
        <w:t xml:space="preserve"> They are deterministic thresholds. They stop the reconstructions that thresholds can stop — a cell dominated by one firm, a cell too thin to describe a market, a change between rounds that one firm's arrival or departure explains. They offer no privacy budget and no formal bound, and an adversary with outside knowledge (which firms are in the consortium, which one was acquired last quarter) reasons about things no threshold can see. Calibrated noise would give a formal guarantee and would also mean the published median is no longer the median, which is the number a benchmark is bought for. That trade was made deliberately in one direction; it is a choice, not a proof, and a consortium with a stricter requirement should know it is choosing again.</w:t>
      </w:r>
    </w:p>
    <w:p>
      <w:r>
        <w:rPr>
          <w:b/>
          <w:color w:val="1A1C20"/>
          <w:sz w:val="21"/>
        </w:rPr>
        <w:t>Withholding is itself information.</w:t>
      </w:r>
      <w:r>
        <w:rPr>
          <w:b w:val="0"/>
          <w:color w:val="1A1C20"/>
          <w:sz w:val="21"/>
        </w:rPr>
        <w:t xml:space="preserve"> A cell that disappears says a single organisation moved. That is far less than the numbers it protects, and the alternative — a cell that vanishes with no reason given — was rejected everywhere else in this ruleset, so it is rejected here too.</w:t>
      </w:r>
    </w:p>
    <w:p>
      <w:pPr>
        <w:pStyle w:val="Heading2"/>
      </w:pPr>
      <w:r>
        <w:t>5. Verification — three tiers of trust</w:t>
      </w:r>
    </w:p>
    <w:p>
      <w:r>
        <w:rPr>
          <w:b w:val="0"/>
          <w:color w:val="1A1C20"/>
          <w:sz w:val="21"/>
        </w:rPr>
        <w:t>Anyone can check the round, and two of the three checks need nothing from us.</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8-verifier-match.png"/>
                    <pic:cNvPicPr/>
                  </pic:nvPicPr>
                  <pic:blipFill>
                    <a:blip r:embed="rId15"/>
                    <a:stretch>
                      <a:fillRect/>
                    </a:stretch>
                  </pic:blipFill>
                  <pic:spPr>
                    <a:xfrm>
                      <a:off x="0" y="0"/>
                      <a:ext cx="5943600" cy="3714750"/>
                    </a:xfrm>
                    <a:prstGeom prst="rect"/>
                  </pic:spPr>
                </pic:pic>
              </a:graphicData>
            </a:graphic>
          </wp:inline>
        </w:drawing>
      </w:r>
    </w:p>
    <w:p>
      <w:pPr>
        <w:jc w:val="center"/>
      </w:pPr>
      <w:r>
        <w:rPr>
          <w:i/>
          <w:color w:val="4C535B"/>
          <w:sz w:val="18"/>
        </w:rPr>
        <w:t>The verifier, with the digest recomputed in the browser</w:t>
      </w:r>
    </w:p>
    <w:p>
      <w:pPr>
        <w:pStyle w:val="ListNumber"/>
      </w:pPr>
      <w:r>
        <w:rPr>
          <w:b/>
          <w:color w:val="1A1C20"/>
          <w:sz w:val="21"/>
        </w:rPr>
        <w:t>Offline.</w:t>
      </w:r>
      <w:r>
        <w:rPr>
          <w:b w:val="0"/>
          <w:color w:val="1A1C20"/>
          <w:sz w:val="21"/>
        </w:rPr>
        <w:t xml:space="preserve"> SHA-256 over the exact bytes of the published round. The site does this in the visitor's own browser with the Web Crypto API; the CLI does it in </w:t>
      </w:r>
      <w:r>
        <w:rPr>
          <w:rFonts w:ascii="Consolas" w:hAnsi="Consolas"/>
          <w:color w:val="4C535B"/>
          <w:sz w:val="19"/>
        </w:rPr>
        <w:t>agent/src/lib/digest.ts</w:t>
      </w:r>
      <w:r>
        <w:rPr>
          <w:b w:val="0"/>
          <w:color w:val="1A1C20"/>
          <w:sz w:val="21"/>
        </w:rPr>
        <w:t xml:space="preserve">. Both hash the </w:t>
      </w:r>
      <w:r>
        <w:rPr>
          <w:rFonts w:ascii="Consolas" w:hAnsi="Consolas"/>
          <w:color w:val="4C535B"/>
          <w:sz w:val="19"/>
        </w:rPr>
        <w:t>round</w:t>
      </w:r>
      <w:r>
        <w:rPr>
          <w:b w:val="0"/>
          <w:color w:val="1A1C20"/>
          <w:sz w:val="21"/>
        </w:rPr>
        <w:t xml:space="preserve"> value sliced verbatim out of the response — a value that has been through </w:t>
      </w:r>
      <w:r>
        <w:rPr>
          <w:rFonts w:ascii="Consolas" w:hAnsi="Consolas"/>
          <w:color w:val="4C535B"/>
          <w:sz w:val="19"/>
        </w:rPr>
        <w:t>JSON.parse</w:t>
      </w:r>
      <w:r>
        <w:rPr>
          <w:b w:val="0"/>
          <w:color w:val="1A1C20"/>
          <w:sz w:val="21"/>
        </w:rPr>
        <w:t xml:space="preserve"> and back is not the same bytes and would not match.</w:t>
      </w:r>
    </w:p>
    <w:p>
      <w:pPr>
        <w:pStyle w:val="ListNumber"/>
      </w:pPr>
      <w:r>
        <w:rPr>
          <w:b/>
          <w:color w:val="1A1C20"/>
          <w:sz w:val="21"/>
        </w:rPr>
        <w:t>On chain.</w:t>
      </w:r>
      <w:r>
        <w:rPr>
          <w:b w:val="0"/>
          <w:color w:val="1A1C20"/>
          <w:sz w:val="21"/>
        </w:rPr>
        <w:t xml:space="preserve"> The same digest, written to Solana devnet as an SPL Memo. This gives the round an independent timestamp and an append-only history, so republishing a different round under the same id becomes obvious rather than impossible.</w:t>
      </w:r>
    </w:p>
    <w:p>
      <w:pPr>
        <w:pStyle w:val="ListNumber"/>
      </w:pPr>
      <w:r>
        <w:rPr>
          <w:b/>
          <w:color w:val="1A1C20"/>
          <w:sz w:val="21"/>
        </w:rPr>
        <w:t>Enclave.</w:t>
      </w:r>
      <w:r>
        <w:rPr>
          <w:b w:val="0"/>
          <w:color w:val="1A1C20"/>
          <w:sz w:val="21"/>
        </w:rPr>
        <w:t xml:space="preserve"> </w:t>
      </w:r>
      <w:r>
        <w:rPr>
          <w:rFonts w:ascii="Consolas" w:hAnsi="Consolas"/>
          <w:color w:val="4C535B"/>
          <w:sz w:val="19"/>
        </w:rPr>
        <w:t>verify-receipt</w:t>
      </w:r>
      <w:r>
        <w:rPr>
          <w:b w:val="0"/>
          <w:color w:val="1A1C20"/>
          <w:sz w:val="21"/>
        </w:rPr>
        <w:t xml:space="preserve"> asks the contract whether a commitment is in the ledger and whether its cell reached a published band. </w:t>
      </w:r>
      <w:r>
        <w:rPr>
          <w:rFonts w:ascii="Consolas" w:hAnsi="Consolas"/>
          <w:color w:val="4C535B"/>
          <w:sz w:val="19"/>
        </w:rPr>
        <w:t>npm run verify</w:t>
      </w:r>
      <w:r>
        <w:rPr>
          <w:b w:val="0"/>
          <w:color w:val="1A1C20"/>
          <w:sz w:val="21"/>
        </w:rPr>
        <w:t xml:space="preserve"> runs three probes: one receipt in a published band, one in a withheld cell, and </w:t>
      </w:r>
      <w:r>
        <w:rPr>
          <w:b/>
          <w:color w:val="1A1C20"/>
          <w:sz w:val="21"/>
        </w:rPr>
        <w:t>one forged commitment as a negative control</w:t>
      </w:r>
      <w:r>
        <w:rPr>
          <w:b w:val="0"/>
          <w:color w:val="1A1C20"/>
          <w:sz w:val="21"/>
        </w:rPr>
        <w:t xml:space="preserve"> — because a verifier that only ever says yes has not been shown to distinguish anything.</w:t>
      </w:r>
    </w:p>
    <w:p>
      <w:r>
        <w:rPr>
          <w:b w:val="0"/>
          <w:color w:val="1A1C20"/>
          <w:sz w:val="21"/>
        </w:rPr>
        <w:t>All eight checks passed:</w:t>
      </w:r>
    </w:p>
    <w:p>
      <w:pPr>
        <w:spacing w:before="120" w:after="200"/>
        <w:ind w:left="173"/>
        <w:shd w:val="clear" w:color="auto" w:fill="F4F2EE"/>
      </w:pPr>
      <w:r>
        <w:rPr>
          <w:rFonts w:ascii="Consolas" w:hAnsi="Consolas"/>
          <w:color w:val="1A1C20"/>
          <w:sz w:val="17"/>
        </w:rPr>
        <w:t>1. offline — digest over the bytes on disk</w:t>
      </w:r>
      <w:r>
        <w:br/>
      </w:r>
      <w:r>
        <w:rPr>
          <w:rFonts w:ascii="Consolas" w:hAnsi="Consolas"/>
          <w:color w:val="1A1C20"/>
          <w:sz w:val="17"/>
        </w:rPr>
        <w:t>[  ok  ] digest e4f528ad321626b2… over 1589 bytes matches the attestation</w:t>
      </w:r>
      <w:r>
        <w:br/>
      </w:r>
      <w:r>
        <w:rPr>
          <w:rFonts w:ascii="Consolas" w:hAnsi="Consolas"/>
          <w:color w:val="1A1C20"/>
          <w:sz w:val="17"/>
        </w:rPr>
      </w:r>
      <w:r>
        <w:br/>
      </w:r>
      <w:r>
        <w:rPr>
          <w:rFonts w:ascii="Consolas" w:hAnsi="Consolas"/>
          <w:color w:val="1A1C20"/>
          <w:sz w:val="17"/>
        </w:rPr>
        <w:t>2. chain — the anchor on Solana devnet</w:t>
      </w:r>
      <w:r>
        <w:br/>
      </w:r>
      <w:r>
        <w:rPr>
          <w:rFonts w:ascii="Consolas" w:hAnsi="Consolas"/>
          <w:color w:val="1A1C20"/>
          <w:sz w:val="17"/>
        </w:rPr>
        <w:t xml:space="preserve">     slot 492821211, block time 2026-09-04T03:20:44.000Z</w:t>
      </w:r>
      <w:r>
        <w:br/>
      </w:r>
      <w:r>
        <w:rPr>
          <w:rFonts w:ascii="Consolas" w:hAnsi="Consolas"/>
          <w:color w:val="1A1C20"/>
          <w:sz w:val="17"/>
        </w:rPr>
        <w:t>[  ok  ] on-chain digest matches the round on disk</w:t>
      </w:r>
      <w:r>
        <w:br/>
      </w:r>
      <w:r>
        <w:rPr>
          <w:rFonts w:ascii="Consolas" w:hAnsi="Consolas"/>
          <w:color w:val="1A1C20"/>
          <w:sz w:val="17"/>
        </w:rPr>
        <w:t>[  ok  ] anchor names round 2026-q1</w:t>
      </w:r>
      <w:r>
        <w:br/>
      </w:r>
      <w:r>
        <w:rPr>
          <w:rFonts w:ascii="Consolas" w:hAnsi="Consolas"/>
          <w:color w:val="1A1C20"/>
          <w:sz w:val="17"/>
        </w:rPr>
        <w:t>[  ok  ] anchor names ruleset blindband-safe-harbour/v1</w:t>
      </w:r>
      <w:r>
        <w:br/>
      </w:r>
      <w:r>
        <w:rPr>
          <w:rFonts w:ascii="Consolas" w:hAnsi="Consolas"/>
          <w:color w:val="1A1C20"/>
          <w:sz w:val="17"/>
        </w:rPr>
        <w:t>[  ok  ] anchor carries 4 published / 2 withheld</w:t>
      </w:r>
      <w:r>
        <w:br/>
      </w:r>
      <w:r>
        <w:rPr>
          <w:rFonts w:ascii="Consolas" w:hAnsi="Consolas"/>
          <w:color w:val="1A1C20"/>
          <w:sz w:val="17"/>
        </w:rPr>
      </w:r>
      <w:r>
        <w:br/>
      </w:r>
      <w:r>
        <w:rPr>
          <w:rFonts w:ascii="Consolas" w:hAnsi="Consolas"/>
          <w:color w:val="1A1C20"/>
          <w:sz w:val="17"/>
        </w:rPr>
        <w:t>3. enclave — receipt inclusion, asked of the contract</w:t>
      </w:r>
      <w:r>
        <w:br/>
      </w:r>
      <w:r>
        <w:rPr>
          <w:rFonts w:ascii="Consolas" w:hAnsi="Consolas"/>
          <w:color w:val="1A1C20"/>
          <w:sz w:val="17"/>
        </w:rPr>
        <w:t>[  ok  ] receipt in a published band → included true, counted true</w:t>
      </w:r>
      <w:r>
        <w:br/>
      </w:r>
      <w:r>
        <w:rPr>
          <w:rFonts w:ascii="Consolas" w:hAnsi="Consolas"/>
          <w:color w:val="1A1C20"/>
          <w:sz w:val="17"/>
        </w:rPr>
        <w:t>[  ok  ] receipt in a withheld cell  → included true, counted false</w:t>
      </w:r>
      <w:r>
        <w:br/>
      </w:r>
      <w:r>
        <w:rPr>
          <w:rFonts w:ascii="Consolas" w:hAnsi="Consolas"/>
          <w:color w:val="1A1C20"/>
          <w:sz w:val="17"/>
        </w:rPr>
        <w:t>[  ok  ] forged commitment           → included false</w:t>
      </w:r>
      <w:r>
        <w:br/>
      </w:r>
      <w:r>
        <w:rPr>
          <w:rFonts w:ascii="Consolas" w:hAnsi="Consolas"/>
          <w:color w:val="1A1C20"/>
          <w:sz w:val="17"/>
        </w:rPr>
      </w:r>
      <w:r>
        <w:br/>
      </w:r>
      <w:r>
        <w:rPr>
          <w:rFonts w:ascii="Consolas" w:hAnsi="Consolas"/>
          <w:color w:val="1A1C20"/>
          <w:sz w:val="17"/>
        </w:rPr>
        <w:t>verdict     : every check passed.</w:t>
      </w:r>
    </w:p>
    <w:p>
      <w:pPr>
        <w:pStyle w:val="Heading2"/>
      </w:pPr>
      <w:r>
        <w:t>6. The walkthrough</w:t>
      </w:r>
    </w:p>
    <w:p>
      <w:r>
        <w:rPr>
          <w:b w:val="0"/>
          <w:color w:val="1A1C20"/>
          <w:sz w:val="21"/>
        </w:rPr>
        <w:t>The site replays the five real commands rather than embedding a screen recording — the transcript can be paused on the line you care about, the text can be selected, and it does not go stale when an output string changes.</w:t>
      </w:r>
    </w:p>
    <w:p>
      <w:pPr>
        <w:jc w:val="center"/>
      </w:pPr>
      <w:r>
        <w:drawing>
          <wp:inline xmlns:a="http://schemas.openxmlformats.org/drawingml/2006/main" xmlns:pic="http://schemas.openxmlformats.org/drawingml/2006/picture">
            <wp:extent cx="5943600" cy="2338107"/>
            <wp:docPr id="3" name="Picture 3"/>
            <wp:cNvGraphicFramePr>
              <a:graphicFrameLocks noChangeAspect="1"/>
            </wp:cNvGraphicFramePr>
            <a:graphic>
              <a:graphicData uri="http://schemas.openxmlformats.org/drawingml/2006/picture">
                <pic:pic>
                  <pic:nvPicPr>
                    <pic:cNvPr id="0" name="07-walkthrough-replay.png"/>
                    <pic:cNvPicPr/>
                  </pic:nvPicPr>
                  <pic:blipFill>
                    <a:blip r:embed="rId16"/>
                    <a:stretch>
                      <a:fillRect/>
                    </a:stretch>
                  </pic:blipFill>
                  <pic:spPr>
                    <a:xfrm>
                      <a:off x="0" y="0"/>
                      <a:ext cx="5943600" cy="2338107"/>
                    </a:xfrm>
                    <a:prstGeom prst="rect"/>
                  </pic:spPr>
                </pic:pic>
              </a:graphicData>
            </a:graphic>
          </wp:inline>
        </w:drawing>
      </w:r>
    </w:p>
    <w:p>
      <w:pPr>
        <w:jc w:val="center"/>
      </w:pPr>
      <w:r>
        <w:rPr>
          <w:i/>
          <w:color w:val="4C535B"/>
          <w:sz w:val="18"/>
        </w:rPr>
        <w:t>The walkthrough player</w:t>
      </w:r>
    </w:p>
    <w:p>
      <w:pPr>
        <w:spacing w:before="120" w:after="200"/>
        <w:ind w:left="173"/>
        <w:shd w:val="clear" w:color="auto" w:fill="F4F2EE"/>
      </w:pPr>
      <w:r>
        <w:rPr>
          <w:rFonts w:ascii="Consolas" w:hAnsi="Consolas"/>
          <w:color w:val="1A1C20"/>
          <w:sz w:val="17"/>
        </w:rPr>
        <w:t>npm run deploy                        # register + scope the sealed maps</w:t>
      </w:r>
      <w:r>
        <w:br/>
      </w:r>
      <w:r>
        <w:rPr>
          <w:rFonts w:ascii="Consolas" w:hAnsi="Consolas"/>
          <w:color w:val="1A1C20"/>
          <w:sz w:val="17"/>
        </w:rPr>
        <w:t>npm run submit -- data/records.json   # 117 rows, one execution</w:t>
      </w:r>
      <w:r>
        <w:br/>
      </w:r>
      <w:r>
        <w:rPr>
          <w:rFonts w:ascii="Consolas" w:hAnsi="Consolas"/>
          <w:color w:val="1A1C20"/>
          <w:sz w:val="17"/>
        </w:rPr>
        <w:t>npm run round -- 2026-q1              # aggregate inside the enclave</w:t>
      </w:r>
      <w:r>
        <w:br/>
      </w:r>
      <w:r>
        <w:rPr>
          <w:rFonts w:ascii="Consolas" w:hAnsi="Consolas"/>
          <w:color w:val="1A1C20"/>
          <w:sz w:val="17"/>
        </w:rPr>
        <w:t>npm run anchor                        # write the digest to Solana devnet</w:t>
      </w:r>
      <w:r>
        <w:br/>
      </w:r>
      <w:r>
        <w:rPr>
          <w:rFonts w:ascii="Consolas" w:hAnsi="Consolas"/>
          <w:color w:val="1A1C20"/>
          <w:sz w:val="17"/>
        </w:rPr>
        <w:t>npm run verify                        # check all of the above</w:t>
      </w:r>
    </w:p>
    <w:p>
      <w:r>
        <w:rPr>
          <w:b w:val="0"/>
          <w:color w:val="1A1C20"/>
          <w:sz w:val="21"/>
        </w:rPr>
        <w:t xml:space="preserve">Each step refuses to proceed if the previous left something inconsistent. </w:t>
      </w:r>
      <w:r>
        <w:rPr>
          <w:rFonts w:ascii="Consolas" w:hAnsi="Consolas"/>
          <w:color w:val="4C535B"/>
          <w:sz w:val="19"/>
        </w:rPr>
        <w:t>anchor</w:t>
      </w:r>
      <w:r>
        <w:rPr>
          <w:b w:val="0"/>
          <w:color w:val="1A1C20"/>
          <w:sz w:val="21"/>
        </w:rPr>
        <w:t xml:space="preserve"> recomputes the digest locally and will not write to the chain if it does not match — anchoring an unverified digest would put a number on a public ledger and call it proof.</w:t>
      </w:r>
    </w:p>
    <w:p>
      <w:r>
        <w:rPr>
          <w:b w:val="0"/>
          <w:color w:val="1A1C20"/>
          <w:sz w:val="21"/>
        </w:rPr>
        <w:t xml:space="preserve">There is also a 63-second video, in </w:t>
      </w:r>
      <w:r>
        <w:rPr>
          <w:rFonts w:ascii="Consolas" w:hAnsi="Consolas"/>
          <w:color w:val="4C535B"/>
          <w:sz w:val="19"/>
        </w:rPr>
        <w:t>video/</w:t>
      </w:r>
      <w:r>
        <w:rPr>
          <w:b w:val="0"/>
          <w:color w:val="1A1C20"/>
          <w:sz w:val="21"/>
        </w:rPr>
        <w:t xml:space="preserve"> as Remotion compositions and served at </w:t>
      </w:r>
      <w:hyperlink r:id="rId12">
        <w:r>
          <w:rPr>
            <w:color w:val="8F6210"/>
            <w:u w:val="single"/>
          </w:rPr>
          <w:t>/demo/blindband-demo.mp4</w:t>
        </w:r>
      </w:hyperlink>
      <w:r>
        <w:rPr>
          <w:b w:val="0"/>
          <w:color w:val="1A1C20"/>
          <w:sz w:val="21"/>
        </w:rPr>
        <w:t xml:space="preserve">. It is silent and captioned on screen, and every figure in it — the firm count, the bands, the withheld reasons, the digest, the slot — is read from the same two data files the site reads. </w:t>
      </w:r>
      <w:r>
        <w:rPr>
          <w:rFonts w:ascii="Consolas" w:hAnsi="Consolas"/>
          <w:color w:val="4C535B"/>
          <w:sz w:val="19"/>
        </w:rPr>
        <w:t>npm run render</w:t>
      </w:r>
      <w:r>
        <w:rPr>
          <w:b w:val="0"/>
          <w:color w:val="1A1C20"/>
          <w:sz w:val="21"/>
        </w:rPr>
        <w:t xml:space="preserve"> in </w:t>
      </w:r>
      <w:r>
        <w:rPr>
          <w:rFonts w:ascii="Consolas" w:hAnsi="Consolas"/>
          <w:color w:val="4C535B"/>
          <w:sz w:val="19"/>
        </w:rPr>
        <w:t>video/</w:t>
      </w:r>
      <w:r>
        <w:rPr>
          <w:b w:val="0"/>
          <w:color w:val="1A1C20"/>
          <w:sz w:val="21"/>
        </w:rPr>
        <w:t xml:space="preserve"> rebuilds it, so a number in the video cannot drift from the round it claims to show.</w:t>
      </w:r>
    </w:p>
    <w:p>
      <w:pPr>
        <w:pStyle w:val="Heading2"/>
      </w:pPr>
      <w:r>
        <w:t>7. Ease of maintenance</w:t>
      </w:r>
    </w:p>
    <w:p>
      <w:r>
        <w:rPr>
          <w:b w:val="0"/>
          <w:color w:val="1A1C20"/>
          <w:sz w:val="21"/>
        </w:rPr>
        <w:t>This was the judging criterion the design was actually organised around.</w:t>
      </w:r>
    </w:p>
    <w:p>
      <w:pPr>
        <w:pStyle w:val="ListBullet"/>
      </w:pPr>
      <w:r>
        <w:rPr>
          <w:b/>
          <w:color w:val="1A1C20"/>
          <w:sz w:val="21"/>
        </w:rPr>
        <w:t>A quarter is one command.</w:t>
      </w:r>
      <w:r>
        <w:rPr>
          <w:b w:val="0"/>
          <w:color w:val="1A1C20"/>
          <w:sz w:val="21"/>
        </w:rPr>
        <w:t xml:space="preserve"> `npm run quarter -- --round 2026-q2 --data</w:t>
      </w:r>
    </w:p>
    <w:p>
      <w:r>
        <w:rPr>
          <w:b w:val="0"/>
          <w:color w:val="1A1C20"/>
          <w:sz w:val="21"/>
        </w:rPr>
        <w:t>q2.json --follows 2026-q1</w:t>
      </w:r>
      <w:r>
        <w:rPr>
          <w:rFonts w:ascii="Consolas" w:hAnsi="Consolas"/>
          <w:color w:val="4C535B"/>
          <w:sz w:val="19"/>
        </w:rPr>
        <w:t xml:space="preserve"> runs preflight, submit, round, anchor and verify in order. It spawns the same scripts a person would run by hand rather than reimplementing them, so there is no second copy of the sequence to drift out of step with the documented one. It stops at the first failure, because every later step reads what an earlier one wrote — anchor before round and you anchor last quarter's digest under this quarter's label. </w:t>
      </w:r>
      <w:r>
        <w:rPr>
          <w:b w:val="0"/>
          <w:color w:val="1A1C20"/>
          <w:sz w:val="21"/>
        </w:rPr>
        <w:t>--dry-run` checks the key and the credits, prints the plan, and spends nothing. A consortium runs this four times a year, which is often enough to forget the order and not often enough to build the habit.</w:t>
      </w:r>
    </w:p>
    <w:p>
      <w:pPr>
        <w:pStyle w:val="ListBullet"/>
      </w:pPr>
      <w:r>
        <w:rPr>
          <w:b/>
          <w:color w:val="1A1C20"/>
          <w:sz w:val="21"/>
        </w:rPr>
        <w:t>The interesting logic runs without the platform.</w:t>
      </w:r>
      <w:r>
        <w:rPr>
          <w:b w:val="0"/>
          <w:color w:val="1A1C20"/>
          <w:sz w:val="21"/>
        </w:rPr>
        <w:t xml:space="preserve"> </w:t>
      </w:r>
      <w:r>
        <w:rPr>
          <w:rFonts w:ascii="Consolas" w:hAnsi="Consolas"/>
          <w:color w:val="4C535B"/>
          <w:sz w:val="19"/>
        </w:rPr>
        <w:t>stats.rs</w:t>
      </w:r>
      <w:r>
        <w:rPr>
          <w:b w:val="0"/>
          <w:color w:val="1A1C20"/>
          <w:sz w:val="21"/>
        </w:rPr>
        <w:t xml:space="preserve"> and</w:t>
      </w:r>
    </w:p>
    <w:p>
      <w:r>
        <w:rPr>
          <w:rFonts w:ascii="Consolas" w:hAnsi="Consolas"/>
          <w:color w:val="4C535B"/>
          <w:sz w:val="19"/>
        </w:rPr>
        <w:t>policy.rs</w:t>
      </w:r>
      <w:r>
        <w:rPr>
          <w:b w:val="0"/>
          <w:color w:val="1A1C20"/>
          <w:sz w:val="21"/>
        </w:rPr>
        <w:t xml:space="preserve"> are pure and unit-tested; </w:t>
      </w:r>
      <w:r>
        <w:rPr>
          <w:rFonts w:ascii="Consolas" w:hAnsi="Consolas"/>
          <w:color w:val="4C535B"/>
          <w:sz w:val="19"/>
        </w:rPr>
        <w:t>cargo test</w:t>
      </w:r>
      <w:r>
        <w:rPr>
          <w:b w:val="0"/>
          <w:color w:val="1A1C20"/>
          <w:sz w:val="21"/>
        </w:rPr>
        <w:t xml:space="preserve"> runs 30 tests on the host toolchain in under a second, with no node, no enclave and no credits. Only </w:t>
      </w:r>
      <w:r>
        <w:rPr>
          <w:rFonts w:ascii="Consolas" w:hAnsi="Consolas"/>
          <w:color w:val="4C535B"/>
          <w:sz w:val="19"/>
        </w:rPr>
        <w:t>ledger.rs</w:t>
      </w:r>
      <w:r>
        <w:rPr>
          <w:b w:val="0"/>
          <w:color w:val="1A1C20"/>
          <w:sz w:val="21"/>
        </w:rPr>
        <w:t xml:space="preserve"> touches the host, and it is </w:t>
      </w:r>
      <w:r>
        <w:rPr>
          <w:rFonts w:ascii="Consolas" w:hAnsi="Consolas"/>
          <w:color w:val="4C535B"/>
          <w:sz w:val="19"/>
        </w:rPr>
        <w:t>wasm32</w:t>
      </w:r>
      <w:r>
        <w:rPr>
          <w:b w:val="0"/>
          <w:color w:val="1A1C20"/>
          <w:sz w:val="21"/>
        </w:rPr>
        <w:t xml:space="preserve"> only.</w:t>
      </w:r>
    </w:p>
    <w:p>
      <w:pPr>
        <w:pStyle w:val="ListBullet"/>
      </w:pPr>
      <w:r>
        <w:rPr>
          <w:b/>
          <w:color w:val="1A1C20"/>
          <w:sz w:val="21"/>
        </w:rPr>
        <w:t>Deploy is idempotent and self-healing.</w:t>
      </w:r>
      <w:r>
        <w:rPr>
          <w:b w:val="0"/>
          <w:color w:val="1A1C20"/>
          <w:sz w:val="21"/>
        </w:rPr>
        <w:t xml:space="preserve"> </w:t>
      </w:r>
      <w:r>
        <w:rPr>
          <w:rFonts w:ascii="Consolas" w:hAnsi="Consolas"/>
          <w:color w:val="4C535B"/>
          <w:sz w:val="19"/>
        </w:rPr>
        <w:t>npm run deploy</w:t>
      </w:r>
      <w:r>
        <w:rPr>
          <w:b w:val="0"/>
          <w:color w:val="1A1C20"/>
          <w:sz w:val="21"/>
        </w:rPr>
        <w:t xml:space="preserve"> tracks every</w:t>
      </w:r>
    </w:p>
    <w:p>
      <w:r>
        <w:rPr>
          <w:b w:val="0"/>
          <w:color w:val="1A1C20"/>
          <w:sz w:val="21"/>
        </w:rPr>
        <w:t>contract id the tenant has registered and re-scopes both map ACLs to the union, so a version bump cannot orphan rows written by the previous build. This was a bug before it was a feature — see BB-03.</w:t>
      </w:r>
    </w:p>
    <w:p>
      <w:pPr>
        <w:pStyle w:val="ListBullet"/>
      </w:pPr>
      <w:r>
        <w:rPr>
          <w:b/>
          <w:color w:val="1A1C20"/>
          <w:sz w:val="21"/>
        </w:rPr>
        <w:t>One state file.</w:t>
      </w:r>
      <w:r>
        <w:rPr>
          <w:b w:val="0"/>
          <w:color w:val="1A1C20"/>
          <w:sz w:val="21"/>
        </w:rPr>
        <w:t xml:space="preserve"> </w:t>
      </w:r>
      <w:r>
        <w:rPr>
          <w:rFonts w:ascii="Consolas" w:hAnsi="Consolas"/>
          <w:color w:val="4C535B"/>
          <w:sz w:val="19"/>
        </w:rPr>
        <w:t>agent/state.json</w:t>
      </w:r>
      <w:r>
        <w:rPr>
          <w:b w:val="0"/>
          <w:color w:val="1A1C20"/>
          <w:sz w:val="21"/>
        </w:rPr>
        <w:t xml:space="preserve"> holds the tenant DID, the contract</w:t>
      </w:r>
    </w:p>
    <w:p>
      <w:r>
        <w:rPr>
          <w:b w:val="0"/>
          <w:color w:val="1A1C20"/>
          <w:sz w:val="21"/>
        </w:rPr>
        <w:t>ids and the map names. Nothing else lives outside git, and a single deploy reconstructs it.</w:t>
      </w:r>
    </w:p>
    <w:p>
      <w:pPr>
        <w:pStyle w:val="ListBullet"/>
      </w:pPr>
      <w:r>
        <w:rPr>
          <w:b/>
          <w:color w:val="1A1C20"/>
          <w:sz w:val="21"/>
        </w:rPr>
        <w:t>Minimal capability surface.</w:t>
      </w:r>
      <w:r>
        <w:rPr>
          <w:b w:val="0"/>
          <w:color w:val="1A1C20"/>
          <w:sz w:val="21"/>
        </w:rPr>
        <w:t xml:space="preserve"> </w:t>
      </w:r>
      <w:r>
        <w:rPr>
          <w:rFonts w:ascii="Consolas" w:hAnsi="Consolas"/>
          <w:color w:val="4C535B"/>
          <w:sz w:val="19"/>
        </w:rPr>
        <w:t>["kv_store", "logging", "tenant_context"]</w:t>
      </w:r>
      <w:r>
        <w:rPr>
          <w:b w:val="0"/>
          <w:color w:val="1A1C20"/>
          <w:sz w:val="21"/>
        </w:rPr>
        <w:t>.</w:t>
      </w:r>
    </w:p>
    <w:p>
      <w:r>
        <w:rPr>
          <w:b w:val="0"/>
          <w:color w:val="1A1C20"/>
          <w:sz w:val="21"/>
        </w:rPr>
        <w:t xml:space="preserve">No </w:t>
      </w:r>
      <w:r>
        <w:rPr>
          <w:rFonts w:ascii="Consolas" w:hAnsi="Consolas"/>
          <w:color w:val="4C535B"/>
          <w:sz w:val="19"/>
        </w:rPr>
        <w:t>http</w:t>
      </w:r>
      <w:r>
        <w:rPr>
          <w:b w:val="0"/>
          <w:color w:val="1A1C20"/>
          <w:sz w:val="21"/>
        </w:rPr>
        <w:t>, so there is no egress to review or allowlist.</w:t>
      </w:r>
    </w:p>
    <w:p>
      <w:pPr>
        <w:pStyle w:val="ListBullet"/>
      </w:pPr>
      <w:r>
        <w:rPr>
          <w:b/>
          <w:color w:val="1A1C20"/>
          <w:sz w:val="21"/>
        </w:rPr>
        <w:t>The reasoning is in the files.</w:t>
      </w:r>
      <w:r>
        <w:rPr>
          <w:b w:val="0"/>
          <w:color w:val="1A1C20"/>
          <w:sz w:val="21"/>
        </w:rPr>
        <w:t xml:space="preserve"> Each module's header explains why it works</w:t>
      </w:r>
    </w:p>
    <w:p>
      <w:r>
        <w:rPr>
          <w:b w:val="0"/>
          <w:color w:val="1A1C20"/>
          <w:sz w:val="21"/>
        </w:rPr>
        <w:t>the way it does — particularly the two places where the obvious approach is wrong (session vs. flat invoke, and writing the round verbatim).</w:t>
      </w:r>
    </w:p>
    <w:p>
      <w:pPr>
        <w:pStyle w:val="ListBullet"/>
      </w:pPr>
      <w:r>
        <w:rPr>
          <w:b/>
          <w:color w:val="1A1C20"/>
          <w:sz w:val="21"/>
        </w:rPr>
        <w:t>The site is static.</w:t>
      </w:r>
      <w:r>
        <w:rPr>
          <w:b w:val="0"/>
          <w:color w:val="1A1C20"/>
          <w:sz w:val="21"/>
        </w:rPr>
        <w:t xml:space="preserve"> Three locales, fifteen prerendered pages, no runtime</w:t>
      </w:r>
    </w:p>
    <w:p>
      <w:r>
        <w:rPr>
          <w:b w:val="0"/>
          <w:color w:val="1A1C20"/>
          <w:sz w:val="21"/>
        </w:rPr>
        <w:t>backend, no API route that could be drained of test credits by a crawler.</w:t>
      </w:r>
    </w:p>
    <w:p>
      <w:pPr>
        <w:pStyle w:val="ListBullet"/>
      </w:pPr>
      <w:r>
        <w:rPr>
          <w:b/>
          <w:color w:val="1A1C20"/>
          <w:sz w:val="21"/>
        </w:rPr>
        <w:t>It is not tied to one host.</w:t>
      </w:r>
      <w:r>
        <w:rPr>
          <w:b w:val="0"/>
          <w:color w:val="1A1C20"/>
          <w:sz w:val="21"/>
        </w:rPr>
        <w:t xml:space="preserve"> The default build is the Vercel one; setting</w:t>
      </w:r>
    </w:p>
    <w:p>
      <w:r>
        <w:rPr>
          <w:rFonts w:ascii="Consolas" w:hAnsi="Consolas"/>
          <w:color w:val="4C535B"/>
          <w:sz w:val="19"/>
        </w:rPr>
        <w:t>BB_STATIC_EXPORT=1</w:t>
      </w:r>
      <w:r>
        <w:rPr>
          <w:b w:val="0"/>
          <w:color w:val="1A1C20"/>
          <w:sz w:val="21"/>
        </w:rPr>
        <w:t xml:space="preserve"> produces a folder of files instead, which is what the GitHub Pages mirror serves from the same commit. Whoever inherits this is not inheriting a hosting account along with it.</w:t>
      </w:r>
    </w:p>
    <w:p>
      <w:pPr>
        <w:pStyle w:val="Heading2"/>
      </w:pPr>
      <w:r>
        <w:t>8. The site</w:t>
      </w:r>
    </w:p>
    <w:p>
      <w:r>
        <w:rPr>
          <w:b w:val="0"/>
          <w:color w:val="1A1C20"/>
          <w:sz w:val="21"/>
        </w:rPr>
        <w:t>English is the default; Bahasa Indonesia and 中文 are hand-written, not machine -passed — "withheld" and "hidden" mean materially different things here.</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834640" cy="1771650"/>
                  <wp:docPr id="4" name="Picture 4"/>
                  <wp:cNvGraphicFramePr>
                    <a:graphicFrameLocks noChangeAspect="1"/>
                  </wp:cNvGraphicFramePr>
                  <a:graphic>
                    <a:graphicData uri="http://schemas.openxmlformats.org/drawingml/2006/picture">
                      <pic:pic>
                        <pic:nvPicPr>
                          <pic:cNvPr id="0" name="00-hero-en.png"/>
                          <pic:cNvPicPr/>
                        </pic:nvPicPr>
                        <pic:blipFill>
                          <a:blip r:embed="rId17"/>
                          <a:stretch>
                            <a:fillRect/>
                          </a:stretch>
                        </pic:blipFill>
                        <pic:spPr>
                          <a:xfrm>
                            <a:off x="0" y="0"/>
                            <a:ext cx="2834640" cy="177165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1771650"/>
                  <wp:docPr id="5" name="Picture 5"/>
                  <wp:cNvGraphicFramePr>
                    <a:graphicFrameLocks noChangeAspect="1"/>
                  </wp:cNvGraphicFramePr>
                  <a:graphic>
                    <a:graphicData uri="http://schemas.openxmlformats.org/drawingml/2006/picture">
                      <pic:pic>
                        <pic:nvPicPr>
                          <pic:cNvPr id="0" name="02-landing-id.png"/>
                          <pic:cNvPicPr/>
                        </pic:nvPicPr>
                        <pic:blipFill>
                          <a:blip r:embed="rId18"/>
                          <a:stretch>
                            <a:fillRect/>
                          </a:stretch>
                        </pic:blipFill>
                        <pic:spPr>
                          <a:xfrm>
                            <a:off x="0" y="0"/>
                            <a:ext cx="2834640" cy="1771650"/>
                          </a:xfrm>
                          <a:prstGeom prst="rect"/>
                        </pic:spPr>
                      </pic:pic>
                    </a:graphicData>
                  </a:graphic>
                </wp:inline>
              </w:drawing>
            </w:r>
          </w:p>
        </w:tc>
      </w:tr>
      <w:tr>
        <w:tc>
          <w:tcPr>
            <w:tcW w:type="dxa" w:w="4680"/>
          </w:tcPr>
          <w:p>
            <w:pPr>
              <w:jc w:val="center"/>
            </w:pPr>
            <w:r>
              <w:drawing>
                <wp:inline xmlns:a="http://schemas.openxmlformats.org/drawingml/2006/main" xmlns:pic="http://schemas.openxmlformats.org/drawingml/2006/picture">
                  <wp:extent cx="2834640" cy="1771650"/>
                  <wp:docPr id="6" name="Picture 6"/>
                  <wp:cNvGraphicFramePr>
                    <a:graphicFrameLocks noChangeAspect="1"/>
                  </wp:cNvGraphicFramePr>
                  <a:graphic>
                    <a:graphicData uri="http://schemas.openxmlformats.org/drawingml/2006/picture">
                      <pic:pic>
                        <pic:nvPicPr>
                          <pic:cNvPr id="0" name="03-landing-zh.png"/>
                          <pic:cNvPicPr/>
                        </pic:nvPicPr>
                        <pic:blipFill>
                          <a:blip r:embed="rId19"/>
                          <a:stretch>
                            <a:fillRect/>
                          </a:stretch>
                        </pic:blipFill>
                        <pic:spPr>
                          <a:xfrm>
                            <a:off x="0" y="0"/>
                            <a:ext cx="2834640" cy="177165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6134452"/>
                  <wp:docPr id="7" name="Picture 7"/>
                  <wp:cNvGraphicFramePr>
                    <a:graphicFrameLocks noChangeAspect="1"/>
                  </wp:cNvGraphicFramePr>
                  <a:graphic>
                    <a:graphicData uri="http://schemas.openxmlformats.org/drawingml/2006/picture">
                      <pic:pic>
                        <pic:nvPicPr>
                          <pic:cNvPr id="0" name="09-mobile-en.png"/>
                          <pic:cNvPicPr/>
                        </pic:nvPicPr>
                        <pic:blipFill>
                          <a:blip r:embed="rId20"/>
                          <a:stretch>
                            <a:fillRect/>
                          </a:stretch>
                        </pic:blipFill>
                        <pic:spPr>
                          <a:xfrm>
                            <a:off x="0" y="0"/>
                            <a:ext cx="2834640" cy="6134452"/>
                          </a:xfrm>
                          <a:prstGeom prst="rect"/>
                        </pic:spPr>
                      </pic:pic>
                    </a:graphicData>
                  </a:graphic>
                </wp:inline>
              </w:drawing>
            </w:r>
          </w:p>
        </w:tc>
      </w:tr>
      <w:tr>
        <w:tc>
          <w:tcPr>
            <w:tcW w:type="dxa" w:w="4680"/>
          </w:tcPr>
          <w:p>
            <w:pPr>
              <w:jc w:val="center"/>
            </w:pPr>
            <w:r>
              <w:drawing>
                <wp:inline xmlns:a="http://schemas.openxmlformats.org/drawingml/2006/main" xmlns:pic="http://schemas.openxmlformats.org/drawingml/2006/picture">
                  <wp:extent cx="2834640" cy="1771650"/>
                  <wp:docPr id="8" name="Picture 8"/>
                  <wp:cNvGraphicFramePr>
                    <a:graphicFrameLocks noChangeAspect="1"/>
                  </wp:cNvGraphicFramePr>
                  <a:graphic>
                    <a:graphicData uri="http://schemas.openxmlformats.org/drawingml/2006/picture">
                      <pic:pic>
                        <pic:nvPicPr>
                          <pic:cNvPr id="0" name="11-light-en.png"/>
                          <pic:cNvPicPr/>
                        </pic:nvPicPr>
                        <pic:blipFill>
                          <a:blip r:embed="rId21"/>
                          <a:stretch>
                            <a:fillRect/>
                          </a:stretch>
                        </pic:blipFill>
                        <pic:spPr>
                          <a:xfrm>
                            <a:off x="0" y="0"/>
                            <a:ext cx="2834640" cy="177165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834640" cy="2952750"/>
                  <wp:docPr id="9" name="Picture 9"/>
                  <wp:cNvGraphicFramePr>
                    <a:graphicFrameLocks noChangeAspect="1"/>
                  </wp:cNvGraphicFramePr>
                  <a:graphic>
                    <a:graphicData uri="http://schemas.openxmlformats.org/drawingml/2006/picture">
                      <pic:pic>
                        <pic:nvPicPr>
                          <pic:cNvPr id="0" name="12-light-round.png"/>
                          <pic:cNvPicPr/>
                        </pic:nvPicPr>
                        <pic:blipFill>
                          <a:blip r:embed="rId22"/>
                          <a:stretch>
                            <a:fillRect/>
                          </a:stretch>
                        </pic:blipFill>
                        <pic:spPr>
                          <a:xfrm>
                            <a:off x="0" y="0"/>
                            <a:ext cx="2834640" cy="2952750"/>
                          </a:xfrm>
                          <a:prstGeom prst="rect"/>
                        </pic:spPr>
                      </pic:pic>
                    </a:graphicData>
                  </a:graphic>
                </wp:inline>
              </w:drawing>
            </w:r>
          </w:p>
        </w:tc>
      </w:tr>
    </w:tbl>
    <w:p/>
    <w:p>
      <w:r>
        <w:rPr>
          <w:b w:val="0"/>
          <w:color w:val="1A1C20"/>
          <w:sz w:val="21"/>
        </w:rPr>
        <w:t>Every figure on the site is read from the round file at build time. The chart plots all cells on one axis and keeps the withheld ones in place — dropping them would hide the most interesting thing the enclave did.</w:t>
      </w:r>
    </w:p>
    <w:p>
      <w:r>
        <w:rPr>
          <w:b w:val="0"/>
          <w:color w:val="1A1C20"/>
          <w:sz w:val="21"/>
        </w:rPr>
        <w:t>The landing page opens on the round rather than on a claim about it: beside the headline sits the enclave's own output — four medians, the two cells it refused to publish, the digest, and the link to the anchor — so the first thing a reader sees above the fold is the thing they are invited to check.</w:t>
      </w:r>
    </w:p>
    <w:p>
      <w:r>
        <w:rPr>
          <w:b w:val="0"/>
          <w:color w:val="1A1C20"/>
          <w:sz w:val="21"/>
        </w:rPr>
        <w:t xml:space="preserve">There are two themes. The site follows the reader's operating system on a first visit and remembers an explicit choice after that, applied by an inline script before first paint so nobody watches a dark page turn light. Every colour is a role rather than a value — </w:t>
      </w:r>
      <w:r>
        <w:rPr>
          <w:rFonts w:ascii="Consolas" w:hAnsi="Consolas"/>
          <w:color w:val="4C535B"/>
          <w:sz w:val="19"/>
        </w:rPr>
        <w:t>ink</w:t>
      </w:r>
      <w:r>
        <w:rPr>
          <w:b w:val="0"/>
          <w:color w:val="1A1C20"/>
          <w:sz w:val="21"/>
        </w:rPr>
        <w:t xml:space="preserve"> is the page ground in both themes — which is why the swap is one stylesheet and not a second set of components. The light palette was re-derived rather than inverted: the dark amber is 2.1:1 on white and would have failed, so text amber, green and rust all have their own light values, and every pair clears WCAG AA (ivory 17.0:1, quiet 7.5:1, faint 4.7:1, signal 5.1:1, published 5.1:1, withheld 6.2:1).</w:t>
      </w:r>
    </w:p>
    <w:p>
      <w:pPr>
        <w:pStyle w:val="Heading2"/>
      </w:pPr>
      <w:r>
        <w:t>9. Bugs</w:t>
      </w:r>
    </w:p>
    <w:p>
      <w:r>
        <w:rPr>
          <w:b w:val="0"/>
          <w:color w:val="1A1C20"/>
          <w:sz w:val="21"/>
        </w:rPr>
        <w:t xml:space="preserve">Twelve write-ups with symptom, cause, fix and cost are on </w:t>
      </w:r>
      <w:hyperlink r:id="rId23">
        <w:r>
          <w:rPr>
            <w:color w:val="8F6210"/>
            <w:u w:val="single"/>
          </w:rPr>
          <w:t>the docs page</w:t>
        </w:r>
      </w:hyperlink>
      <w:r>
        <w:rPr>
          <w:b w:val="0"/>
          <w:color w:val="1A1C20"/>
          <w:sz w:val="21"/>
        </w:rPr>
        <w:t xml:space="preserve"> and in </w:t>
      </w:r>
      <w:hyperlink r:id="rId24">
        <w:r>
          <w:rPr>
            <w:color w:val="8F6210"/>
            <w:u w:val="single"/>
          </w:rPr>
          <w:t>web/src/lib/bugs.ts</w:t>
        </w:r>
      </w:hyperlink>
      <w:r>
        <w:rPr>
          <w:b w:val="0"/>
          <w:color w:val="1A1C20"/>
          <w:sz w:val="21"/>
        </w:rPr>
        <w:t>. Six are platform issues, six are our own — kept in the report because pretending otherwise would make the other six less credible.</w:t>
      </w:r>
    </w:p>
    <w:p>
      <w:pPr>
        <w:jc w:val="center"/>
      </w:pPr>
      <w:r>
        <w:drawing>
          <wp:inline xmlns:a="http://schemas.openxmlformats.org/drawingml/2006/main" xmlns:pic="http://schemas.openxmlformats.org/drawingml/2006/picture">
            <wp:extent cx="5943600" cy="20224750"/>
            <wp:docPr id="10" name="Picture 10"/>
            <wp:cNvGraphicFramePr>
              <a:graphicFrameLocks noChangeAspect="1"/>
            </wp:cNvGraphicFramePr>
            <a:graphic>
              <a:graphicData uri="http://schemas.openxmlformats.org/drawingml/2006/picture">
                <pic:pic>
                  <pic:nvPicPr>
                    <pic:cNvPr id="0" name="06-docs-en.png"/>
                    <pic:cNvPicPr/>
                  </pic:nvPicPr>
                  <pic:blipFill>
                    <a:blip r:embed="rId25"/>
                    <a:stretch>
                      <a:fillRect/>
                    </a:stretch>
                  </pic:blipFill>
                  <pic:spPr>
                    <a:xfrm>
                      <a:off x="0" y="0"/>
                      <a:ext cx="5943600" cy="20224750"/>
                    </a:xfrm>
                    <a:prstGeom prst="rect"/>
                  </pic:spPr>
                </pic:pic>
              </a:graphicData>
            </a:graphic>
          </wp:inline>
        </w:drawing>
      </w:r>
    </w:p>
    <w:p>
      <w:pPr>
        <w:jc w:val="center"/>
      </w:pPr>
      <w:r>
        <w:rPr>
          <w:i/>
          <w:color w:val="4C535B"/>
          <w:sz w:val="18"/>
        </w:rPr>
        <w:t>The bug write-ups</w:t>
      </w:r>
    </w:p>
    <w:p>
      <w:pPr>
        <w:pStyle w:val="Heading3"/>
      </w:pPr>
      <w:r>
        <w:t>Platform</w:t>
      </w:r>
    </w:p>
    <w:p>
      <w:r>
        <w:rPr>
          <w:b/>
          <w:color w:val="1A1C20"/>
          <w:sz w:val="21"/>
        </w:rPr>
        <w:t>BB-01 — the flat `invoke()` path rejects a sandbox-claimed API key.</w:t>
      </w:r>
      <w:r>
        <w:rPr>
          <w:b w:val="0"/>
          <w:color w:val="1A1C20"/>
          <w:sz w:val="21"/>
        </w:rPr>
        <w:t xml:space="preserve"> </w:t>
      </w:r>
      <w:r>
        <w:rPr>
          <w:rFonts w:ascii="Consolas" w:hAnsi="Consolas"/>
          <w:color w:val="4C535B"/>
          <w:sz w:val="19"/>
        </w:rPr>
        <w:t>invalid api key: malformed api key token</w:t>
      </w:r>
      <w:r>
        <w:rPr>
          <w:b w:val="0"/>
          <w:color w:val="1A1C20"/>
          <w:sz w:val="21"/>
        </w:rPr>
        <w:t xml:space="preserve">, for every request regardless of body or headers. </w:t>
      </w:r>
      <w:r>
        <w:rPr>
          <w:rFonts w:ascii="Consolas" w:hAnsi="Consolas"/>
          <w:color w:val="4C535B"/>
          <w:sz w:val="19"/>
        </w:rPr>
        <w:t>invoke()</w:t>
      </w:r>
      <w:r>
        <w:rPr>
          <w:b w:val="0"/>
          <w:color w:val="1A1C20"/>
          <w:sz w:val="21"/>
        </w:rPr>
        <w:t xml:space="preserve"> expects an opaque </w:t>
      </w:r>
      <w:r>
        <w:rPr>
          <w:rFonts w:ascii="Consolas" w:hAnsi="Consolas"/>
          <w:color w:val="4C535B"/>
          <w:sz w:val="19"/>
        </w:rPr>
        <w:t>t3n_key_…</w:t>
      </w:r>
      <w:r>
        <w:rPr>
          <w:b w:val="0"/>
          <w:color w:val="1A1C20"/>
          <w:sz w:val="21"/>
        </w:rPr>
        <w:t xml:space="preserve"> from organisation agent provisioning; a key claimed from the community sandbox page is a hex secp256k1 key for the SIWE session flow. The error names neither. *Fix:* use </w:t>
      </w:r>
      <w:r>
        <w:rPr>
          <w:rFonts w:ascii="Consolas" w:hAnsi="Consolas"/>
          <w:color w:val="4C535B"/>
          <w:sz w:val="19"/>
        </w:rPr>
        <w:t>tenant.contracts.execute()</w:t>
      </w:r>
      <w:r>
        <w:rPr>
          <w:b w:val="0"/>
          <w:color w:val="1A1C20"/>
          <w:sz w:val="21"/>
        </w:rPr>
        <w:t xml:space="preserve">. *Cost:* about half a day, most of it spent assuming the request body was wrong. </w:t>
      </w:r>
      <w:r>
        <w:rPr>
          <w:b/>
          <w:color w:val="1A1C20"/>
          <w:sz w:val="21"/>
        </w:rPr>
        <w:t>Suggested doc change:</w:t>
      </w:r>
      <w:r>
        <w:rPr>
          <w:b w:val="0"/>
          <w:color w:val="1A1C20"/>
          <w:sz w:val="21"/>
        </w:rPr>
        <w:t xml:space="preserve"> the quickstart should say which key type each dispatch path takes.</w:t>
      </w:r>
    </w:p>
    <w:p>
      <w:r>
        <w:rPr>
          <w:b/>
          <w:color w:val="1A1C20"/>
          <w:sz w:val="21"/>
        </w:rPr>
        <w:t>BB-02 — the sandbox trust manifest does not parse, so attestation cannot be verified.</w:t>
      </w:r>
      <w:r>
        <w:rPr>
          <w:b w:val="0"/>
          <w:color w:val="1A1C20"/>
          <w:sz w:val="21"/>
        </w:rPr>
        <w:t xml:space="preserve"> </w:t>
      </w:r>
      <w:r>
        <w:rPr>
          <w:rFonts w:ascii="Consolas" w:hAnsi="Consolas"/>
          <w:color w:val="4C535B"/>
          <w:sz w:val="19"/>
        </w:rPr>
        <w:t>Trust manifest at https://cn-api.sg.testnet.t3n.terminal3.io/api/trust-manifest is malformed.</w:t>
      </w:r>
      <w:r>
        <w:rPr>
          <w:b w:val="0"/>
          <w:color w:val="1A1C20"/>
          <w:sz w:val="21"/>
        </w:rPr>
        <w:t xml:space="preserve"> The SDK then requires </w:t>
      </w:r>
      <w:r>
        <w:rPr>
          <w:rFonts w:ascii="Consolas" w:hAnsi="Consolas"/>
          <w:color w:val="4C535B"/>
          <w:sz w:val="19"/>
        </w:rPr>
        <w:t>T3N_ALLOW_UNVERIFIED_NODE=true</w:t>
      </w:r>
      <w:r>
        <w:rPr>
          <w:b w:val="0"/>
          <w:color w:val="1A1C20"/>
          <w:sz w:val="21"/>
        </w:rPr>
        <w:t>. The SDK's behaviour is correct — it declines to trust a node it cannot attest. But the one property a TEE platform sells is currently the property that cannot be checked on its own sandbox. Every run in this repository prints the warning rather than hiding it.</w:t>
      </w:r>
    </w:p>
    <w:p>
      <w:r>
        <w:rPr>
          <w:b/>
          <w:color w:val="1A1C20"/>
          <w:sz w:val="21"/>
        </w:rPr>
        <w:t>BB-03 — a KV map's ACL names contract *ids*, and a version bump mints a new one.</w:t>
      </w:r>
      <w:r>
        <w:rPr>
          <w:b w:val="0"/>
          <w:color w:val="1A1C20"/>
          <w:sz w:val="21"/>
        </w:rPr>
        <w:t xml:space="preserve"> After registering v0.2.0: </w:t>
      </w:r>
      <w:r>
        <w:rPr>
          <w:rFonts w:ascii="Consolas" w:hAnsi="Consolas"/>
          <w:color w:val="4C535B"/>
          <w:sz w:val="19"/>
        </w:rPr>
        <w:t>kv_store.get on 'z:…:bb-rounds' read denied: access denied: TenantContract(did:t3n:…/871) cannot read map</w:t>
      </w:r>
      <w:r>
        <w:rPr>
          <w:b w:val="0"/>
          <w:color w:val="1A1C20"/>
          <w:sz w:val="21"/>
        </w:rPr>
        <w:t xml:space="preserve"> — with an </w:t>
      </w:r>
      <w:r>
        <w:rPr>
          <w:b/>
          <w:color w:val="1A1C20"/>
          <w:sz w:val="21"/>
        </w:rPr>
        <w:t>empty log ring</w:t>
      </w:r>
      <w:r>
        <w:rPr>
          <w:b w:val="0"/>
          <w:color w:val="1A1C20"/>
          <w:sz w:val="21"/>
        </w:rPr>
        <w:t xml:space="preserve">, because the contract dies during instantiation before it can log. *Fix:* track every id and re-scope with </w:t>
      </w:r>
      <w:r>
        <w:rPr>
          <w:rFonts w:ascii="Consolas" w:hAnsi="Consolas"/>
          <w:color w:val="4C535B"/>
          <w:sz w:val="19"/>
        </w:rPr>
        <w:t>tenant.maps.update()</w:t>
      </w:r>
      <w:r>
        <w:rPr>
          <w:b w:val="0"/>
          <w:color w:val="1A1C20"/>
          <w:sz w:val="21"/>
        </w:rPr>
        <w:t xml:space="preserve">. *Cost:* the longest single block of the build; the empty log is what made it expensive. </w:t>
      </w:r>
      <w:r>
        <w:rPr>
          <w:b/>
          <w:color w:val="1A1C20"/>
          <w:sz w:val="21"/>
        </w:rPr>
        <w:t>Suggested doc change:</w:t>
      </w:r>
      <w:r>
        <w:rPr>
          <w:b w:val="0"/>
          <w:color w:val="1A1C20"/>
          <w:sz w:val="21"/>
        </w:rPr>
        <w:t xml:space="preserve"> the KV maps guide should mention both the id coupling and </w:t>
      </w:r>
      <w:r>
        <w:rPr>
          <w:rFonts w:ascii="Consolas" w:hAnsi="Consolas"/>
          <w:color w:val="4C535B"/>
          <w:sz w:val="19"/>
        </w:rPr>
        <w:t>maps.update()</w:t>
      </w:r>
      <w:r>
        <w:rPr>
          <w:b w:val="0"/>
          <w:color w:val="1A1C20"/>
          <w:sz w:val="21"/>
        </w:rPr>
        <w:t>.</w:t>
      </w:r>
    </w:p>
    <w:p>
      <w:r>
        <w:rPr>
          <w:b/>
          <w:color w:val="1A1C20"/>
          <w:sz w:val="21"/>
        </w:rPr>
        <w:t>BB-04 — a map created without `readers` succeeds, then denies every read.</w:t>
      </w:r>
      <w:r>
        <w:rPr>
          <w:b w:val="0"/>
          <w:color w:val="1A1C20"/>
          <w:sz w:val="21"/>
        </w:rPr>
        <w:t xml:space="preserve"> The governor defaults to deny; an omitted </w:t>
      </w:r>
      <w:r>
        <w:rPr>
          <w:rFonts w:ascii="Consolas" w:hAnsi="Consolas"/>
          <w:color w:val="4C535B"/>
          <w:sz w:val="19"/>
        </w:rPr>
        <w:t>readers</w:t>
      </w:r>
      <w:r>
        <w:rPr>
          <w:b w:val="0"/>
          <w:color w:val="1A1C20"/>
          <w:sz w:val="21"/>
        </w:rPr>
        <w:t xml:space="preserve"> set is a closed map, not an open one. The failure surfaces far from the call that caused it.</w:t>
      </w:r>
    </w:p>
    <w:p>
      <w:r>
        <w:rPr>
          <w:b/>
          <w:color w:val="1A1C20"/>
          <w:sz w:val="21"/>
        </w:rPr>
        <w:t>BB-05 — an execution locks 10,000,000,000 base units</w:t>
      </w:r>
      <w:r>
        <w:rPr>
          <w:b w:val="0"/>
          <w:color w:val="1A1C20"/>
          <w:sz w:val="21"/>
        </w:rPr>
        <w:t xml:space="preserve"> against a 20,000,000,000 allocation, though a round settles at ~150,000,000. The lock is a worst-case reservation, released on completion. It silently rules out the obvious per-row API design — 117 rows one call at a time would need 117 executions. Worth stating on the test-tokens page, because it shapes the contract interface, not just the budget.</w:t>
      </w:r>
    </w:p>
    <w:p>
      <w:pPr>
        <w:pStyle w:val="Heading3"/>
      </w:pPr>
      <w:r>
        <w:t>Ours</w:t>
      </w:r>
    </w:p>
    <w:p>
      <w:r>
        <w:rPr>
          <w:b/>
          <w:color w:val="1A1C20"/>
          <w:sz w:val="21"/>
        </w:rPr>
        <w:t>BB-06 — the verifier could not read the anchor it had just written.</w:t>
      </w:r>
      <w:r>
        <w:rPr>
          <w:b w:val="0"/>
          <w:color w:val="1A1C20"/>
          <w:sz w:val="21"/>
        </w:rPr>
        <w:t xml:space="preserve"> </w:t>
      </w:r>
      <w:r>
        <w:rPr>
          <w:rFonts w:ascii="Consolas" w:hAnsi="Consolas"/>
          <w:color w:val="4C535B"/>
          <w:sz w:val="19"/>
        </w:rPr>
        <w:t>Memo on 5uczxVJU… is not a Blindband anchor</w:t>
      </w:r>
      <w:r>
        <w:rPr>
          <w:b w:val="0"/>
          <w:color w:val="1A1C20"/>
          <w:sz w:val="21"/>
        </w:rPr>
        <w:t xml:space="preserve">, reported against a transaction that was one. SPL Memo v2 echoes the payload into the log as a JSON *string literal*; slicing between the outer quotes leaves the escapes in. *Fix:* read the decoded instruction data from </w:t>
      </w:r>
      <w:r>
        <w:rPr>
          <w:rFonts w:ascii="Consolas" w:hAnsi="Consolas"/>
          <w:color w:val="4C535B"/>
          <w:sz w:val="19"/>
        </w:rPr>
        <w:t>getParsedTransaction</w:t>
      </w:r>
      <w:r>
        <w:rPr>
          <w:b w:val="0"/>
          <w:color w:val="1A1C20"/>
          <w:sz w:val="21"/>
        </w:rPr>
        <w:t>, with a properly unescaped log fallback. A false negative that looks exactly like tampering is the worst failure mode a verification tool has.</w:t>
      </w:r>
    </w:p>
    <w:p>
      <w:r>
        <w:rPr>
          <w:b/>
          <w:color w:val="1A1C20"/>
          <w:sz w:val="21"/>
        </w:rPr>
        <w:t>BB-07 — a byte-order mark in `state.json` silently re-registered the contract.</w:t>
      </w:r>
      <w:r>
        <w:rPr>
          <w:b w:val="0"/>
          <w:color w:val="1A1C20"/>
          <w:sz w:val="21"/>
        </w:rPr>
        <w:t xml:space="preserve"> </w:t>
      </w:r>
      <w:r>
        <w:rPr>
          <w:rFonts w:ascii="Consolas" w:hAnsi="Consolas"/>
          <w:color w:val="4C535B"/>
          <w:sz w:val="19"/>
        </w:rPr>
        <w:t>readState()</w:t>
      </w:r>
      <w:r>
        <w:rPr>
          <w:b w:val="0"/>
          <w:color w:val="1A1C20"/>
          <w:sz w:val="21"/>
        </w:rPr>
        <w:t xml:space="preserve"> caught the parse failure and returned </w:t>
      </w:r>
      <w:r>
        <w:rPr>
          <w:rFonts w:ascii="Consolas" w:hAnsi="Consolas"/>
          <w:color w:val="4C535B"/>
          <w:sz w:val="19"/>
        </w:rPr>
        <w:t>{}</w:t>
      </w:r>
      <w:r>
        <w:rPr>
          <w:b w:val="0"/>
          <w:color w:val="1A1C20"/>
          <w:sz w:val="21"/>
        </w:rPr>
        <w:t>, so the deploy believed nothing was registered. The deeper fix is that an unparseable state file should stop the deploy rather than be treated as empty state.</w:t>
      </w:r>
    </w:p>
    <w:p>
      <w:r>
        <w:rPr>
          <w:b/>
          <w:color w:val="1A1C20"/>
          <w:sz w:val="21"/>
        </w:rPr>
        <w:t>BB-08 — a default build target made `cargo test` impossible.</w:t>
      </w:r>
      <w:r>
        <w:rPr>
          <w:b w:val="0"/>
          <w:color w:val="1A1C20"/>
          <w:sz w:val="21"/>
        </w:rPr>
        <w:t xml:space="preserve"> </w:t>
      </w:r>
      <w:r>
        <w:rPr>
          <w:rFonts w:ascii="Consolas" w:hAnsi="Consolas"/>
          <w:color w:val="4C535B"/>
          <w:sz w:val="19"/>
        </w:rPr>
        <w:t>could not execute process … z_blindband-….wasm</w:t>
      </w:r>
      <w:r>
        <w:rPr>
          <w:b w:val="0"/>
          <w:color w:val="1A1C20"/>
          <w:sz w:val="21"/>
        </w:rPr>
        <w:t xml:space="preserve"> / </w:t>
      </w:r>
      <w:r>
        <w:rPr>
          <w:rFonts w:ascii="Consolas" w:hAnsi="Consolas"/>
          <w:color w:val="4C535B"/>
          <w:sz w:val="19"/>
        </w:rPr>
        <w:t>%1 is not a valid Win32 application (os error 193)</w:t>
      </w:r>
      <w:r>
        <w:rPr>
          <w:b w:val="0"/>
          <w:color w:val="1A1C20"/>
          <w:sz w:val="21"/>
        </w:rPr>
        <w:t xml:space="preserve">. </w:t>
      </w:r>
      <w:r>
        <w:rPr>
          <w:rFonts w:ascii="Consolas" w:hAnsi="Consolas"/>
          <w:color w:val="4C535B"/>
          <w:sz w:val="19"/>
        </w:rPr>
        <w:t>.cargo/config.toml</w:t>
      </w:r>
      <w:r>
        <w:rPr>
          <w:b w:val="0"/>
          <w:color w:val="1A1C20"/>
          <w:sz w:val="21"/>
        </w:rPr>
        <w:t xml:space="preserve"> set </w:t>
      </w:r>
      <w:r>
        <w:rPr>
          <w:rFonts w:ascii="Consolas" w:hAnsi="Consolas"/>
          <w:color w:val="4C535B"/>
          <w:sz w:val="19"/>
        </w:rPr>
        <w:t>[build] target = "wasm32-wasip2"</w:t>
      </w:r>
      <w:r>
        <w:rPr>
          <w:b w:val="0"/>
          <w:color w:val="1A1C20"/>
          <w:sz w:val="21"/>
        </w:rPr>
        <w:t xml:space="preserve"> to shorten the component build; that default applies to </w:t>
      </w:r>
      <w:r>
        <w:rPr>
          <w:rFonts w:ascii="Consolas" w:hAnsi="Consolas"/>
          <w:color w:val="4C535B"/>
          <w:sz w:val="19"/>
        </w:rPr>
        <w:t>cargo test</w:t>
      </w:r>
      <w:r>
        <w:rPr>
          <w:b w:val="0"/>
          <w:color w:val="1A1C20"/>
          <w:sz w:val="21"/>
        </w:rPr>
        <w:t xml:space="preserve"> too, so cargo compiled the test harnesses to wasm and then tried to run them natively. *Fix:* drop the default and name the target on the one command that needs it. Worth recording because the repository was claiming the gates were covered by a command that did not run — found by executing every command in our own documentation before publishing, which is the only reason it is not still true.</w:t>
      </w:r>
    </w:p>
    <w:p>
      <w:r>
        <w:rPr>
          <w:b/>
          <w:color w:val="1A1C20"/>
          <w:sz w:val="21"/>
        </w:rPr>
        <w:t>BB-09 — `state.json` was committed, so the first command failed for everyone but us.</w:t>
      </w:r>
      <w:r>
        <w:rPr>
          <w:b w:val="0"/>
          <w:color w:val="1A1C20"/>
          <w:sz w:val="21"/>
        </w:rPr>
        <w:t xml:space="preserve"> A clean clone carried our tenant DID and contract ids 870/871. Deploying with a different key printed </w:t>
      </w:r>
      <w:r>
        <w:rPr>
          <w:rFonts w:ascii="Consolas" w:hAnsi="Consolas"/>
          <w:color w:val="4C535B"/>
          <w:sz w:val="19"/>
        </w:rPr>
        <w:t>contract : reusing z:efd91540…:blindband (id 871)</w:t>
      </w:r>
      <w:r>
        <w:rPr>
          <w:b w:val="0"/>
          <w:color w:val="1A1C20"/>
          <w:sz w:val="21"/>
        </w:rPr>
        <w:t xml:space="preserve"> — a namespace that key does not own — registered nothing, and scoped the new tenant's maps to </w:t>
      </w:r>
      <w:r>
        <w:rPr>
          <w:rFonts w:ascii="Consolas" w:hAnsi="Consolas"/>
          <w:color w:val="4C535B"/>
          <w:sz w:val="19"/>
        </w:rPr>
        <w:t>readers: { only: [870, 871] }</w:t>
      </w:r>
      <w:r>
        <w:rPr>
          <w:b w:val="0"/>
          <w:color w:val="1A1C20"/>
          <w:sz w:val="21"/>
        </w:rPr>
        <w:t xml:space="preserve">. The first </w:t>
      </w:r>
      <w:r>
        <w:rPr>
          <w:rFonts w:ascii="Consolas" w:hAnsi="Consolas"/>
          <w:color w:val="4C535B"/>
          <w:sz w:val="19"/>
        </w:rPr>
        <w:t>submit</w:t>
      </w:r>
      <w:r>
        <w:rPr>
          <w:b w:val="0"/>
          <w:color w:val="1A1C20"/>
          <w:sz w:val="21"/>
        </w:rPr>
        <w:t xml:space="preserve"> would then die with AccessDenied and an empty log ring: the exact failure BB-03 exists to describe, re-inflicted on every reader by our own packaging. *Fix:* untrack the file, and have the deploy compare </w:t>
      </w:r>
      <w:r>
        <w:rPr>
          <w:rFonts w:ascii="Consolas" w:hAnsi="Consolas"/>
          <w:color w:val="4C535B"/>
          <w:sz w:val="19"/>
        </w:rPr>
        <w:t>state.tenantDid</w:t>
      </w:r>
      <w:r>
        <w:rPr>
          <w:b w:val="0"/>
          <w:color w:val="1A1C20"/>
          <w:sz w:val="21"/>
        </w:rPr>
        <w:t xml:space="preserve"> against the DID it just connected as — foreign state is now announced and discarded rather than used. An unparseable state file is fatal too, which is the deeper fix BB-07 identified and did not make at the time.</w:t>
      </w:r>
    </w:p>
    <w:p>
      <w:r>
        <w:rPr>
          <w:b/>
          <w:color w:val="1A1C20"/>
          <w:sz w:val="21"/>
        </w:rPr>
        <w:t>BB-10 — the sample data our own quickstart tells you to submit was not in the repository.</w:t>
      </w:r>
      <w:r>
        <w:rPr>
          <w:b w:val="0"/>
          <w:color w:val="1A1C20"/>
          <w:sz w:val="21"/>
        </w:rPr>
        <w:t xml:space="preserve"> </w:t>
      </w:r>
      <w:r>
        <w:rPr>
          <w:rFonts w:ascii="Consolas" w:hAnsi="Consolas"/>
          <w:color w:val="4C535B"/>
          <w:sz w:val="19"/>
        </w:rPr>
        <w:t>.gitignore</w:t>
      </w:r>
      <w:r>
        <w:rPr>
          <w:b w:val="0"/>
          <w:color w:val="1A1C20"/>
          <w:sz w:val="21"/>
        </w:rPr>
        <w:t xml:space="preserve"> held </w:t>
      </w:r>
      <w:r>
        <w:rPr>
          <w:rFonts w:ascii="Consolas" w:hAnsi="Consolas"/>
          <w:color w:val="4C535B"/>
          <w:sz w:val="19"/>
        </w:rPr>
        <w:t>data/*.json</w:t>
      </w:r>
      <w:r>
        <w:rPr>
          <w:b w:val="0"/>
          <w:color w:val="1A1C20"/>
          <w:sz w:val="21"/>
        </w:rPr>
        <w:t xml:space="preserve"> with a </w:t>
      </w:r>
      <w:r>
        <w:rPr>
          <w:rFonts w:ascii="Consolas" w:hAnsi="Consolas"/>
          <w:color w:val="4C535B"/>
          <w:sz w:val="19"/>
        </w:rPr>
        <w:t>!data/.gitkeep</w:t>
      </w:r>
      <w:r>
        <w:rPr>
          <w:b w:val="0"/>
          <w:color w:val="1A1C20"/>
          <w:sz w:val="21"/>
        </w:rPr>
        <w:t xml:space="preserve"> exception, and </w:t>
      </w:r>
      <w:r>
        <w:rPr>
          <w:rFonts w:ascii="Consolas" w:hAnsi="Consolas"/>
          <w:color w:val="4C535B"/>
          <w:sz w:val="19"/>
        </w:rPr>
        <w:t>.gitkeep</w:t>
      </w:r>
      <w:r>
        <w:rPr>
          <w:b w:val="0"/>
          <w:color w:val="1A1C20"/>
          <w:sz w:val="21"/>
        </w:rPr>
        <w:t xml:space="preserve"> was never created, so git dropped the directory entirely. </w:t>
      </w:r>
      <w:r>
        <w:rPr>
          <w:rFonts w:ascii="Consolas" w:hAnsi="Consolas"/>
          <w:color w:val="4C535B"/>
          <w:sz w:val="19"/>
        </w:rPr>
        <w:t>npm run submit -- data/records.json</w:t>
      </w:r>
      <w:r>
        <w:rPr>
          <w:b w:val="0"/>
          <w:color w:val="1A1C20"/>
          <w:sz w:val="21"/>
        </w:rPr>
        <w:t xml:space="preserve"> referred to a file no clone contained. *Fix:* ignore the four generated artefacts by name and track </w:t>
      </w:r>
      <w:r>
        <w:rPr>
          <w:rFonts w:ascii="Consolas" w:hAnsi="Consolas"/>
          <w:color w:val="4C535B"/>
          <w:sz w:val="19"/>
        </w:rPr>
        <w:t>records.json</w:t>
      </w:r>
      <w:r>
        <w:rPr>
          <w:b w:val="0"/>
          <w:color w:val="1A1C20"/>
          <w:sz w:val="21"/>
        </w:rPr>
        <w:t xml:space="preserve">; the 117 rows are synthetic, nine members named </w:t>
      </w:r>
      <w:r>
        <w:rPr>
          <w:rFonts w:ascii="Consolas" w:hAnsi="Consolas"/>
          <w:color w:val="4C535B"/>
          <w:sz w:val="19"/>
        </w:rPr>
        <w:t>member-01</w:t>
      </w:r>
      <w:r>
        <w:rPr>
          <w:b w:val="0"/>
          <w:color w:val="1A1C20"/>
          <w:sz w:val="21"/>
        </w:rPr>
        <w:t>…</w:t>
      </w:r>
      <w:r>
        <w:rPr>
          <w:rFonts w:ascii="Consolas" w:hAnsi="Consolas"/>
          <w:color w:val="4C535B"/>
          <w:sz w:val="19"/>
        </w:rPr>
        <w:t>member-09</w:t>
      </w:r>
      <w:r>
        <w:rPr>
          <w:b w:val="0"/>
          <w:color w:val="1A1C20"/>
          <w:sz w:val="21"/>
        </w:rPr>
        <w:t>.</w:t>
      </w:r>
    </w:p>
    <w:p>
      <w:r>
        <w:rPr>
          <w:b w:val="0"/>
          <w:color w:val="1A1C20"/>
          <w:sz w:val="21"/>
        </w:rPr>
        <w:t>Both were found the same way, and only that way: by cloning this repository from GitHub into an empty directory and reading it as someone who had never seen it. Everything had been tested on the machine that wrote it, where both files were sitting on disk. That is worth stating plainly under a judging criterion about maintenance — the repository claimed to be reproducible in three places while being reproducible by nobody.</w:t>
      </w:r>
    </w:p>
    <w:p>
      <w:r>
        <w:rPr>
          <w:b/>
          <w:color w:val="1A1C20"/>
          <w:sz w:val="21"/>
        </w:rPr>
        <w:t>BB-11 — a sandbox tenant cannot provision the delegated agent identity the SDK offers it.</w:t>
      </w:r>
      <w:r>
        <w:rPr>
          <w:b w:val="0"/>
          <w:color w:val="1A1C20"/>
          <w:sz w:val="21"/>
        </w:rPr>
        <w:t xml:space="preserve"> </w:t>
      </w:r>
      <w:r>
        <w:rPr>
          <w:rFonts w:ascii="Consolas" w:hAnsi="Consolas"/>
          <w:color w:val="4C535B"/>
          <w:sz w:val="19"/>
        </w:rPr>
        <w:t>client.createAgent(did, "blindband-round-runner")</w:t>
      </w:r>
      <w:r>
        <w:rPr>
          <w:b w:val="0"/>
          <w:color w:val="1A1C20"/>
          <w:sz w:val="21"/>
        </w:rPr>
        <w:t xml:space="preserve"> is present and callable, and on a sandbox-claimed DID it returns </w:t>
      </w:r>
      <w:r>
        <w:rPr>
          <w:rFonts w:ascii="Consolas" w:hAnsi="Consolas"/>
          <w:color w:val="4C535B"/>
          <w:sz w:val="19"/>
        </w:rPr>
        <w:t>RPC Error: organisation has no policy meta</w:t>
      </w:r>
      <w:r>
        <w:rPr>
          <w:b w:val="0"/>
          <w:color w:val="1A1C20"/>
          <w:sz w:val="21"/>
        </w:rPr>
        <w:t xml:space="preserve">. *Cause:* </w:t>
      </w:r>
      <w:r>
        <w:rPr>
          <w:rFonts w:ascii="Consolas" w:hAnsi="Consolas"/>
          <w:color w:val="4C535B"/>
          <w:sz w:val="19"/>
        </w:rPr>
        <w:t>createAgent</w:t>
      </w:r>
      <w:r>
        <w:rPr>
          <w:b w:val="0"/>
          <w:color w:val="1A1C20"/>
          <w:sz w:val="21"/>
        </w:rPr>
        <w:t xml:space="preserve"> expects an *organisation* DID whose caller is an admin of it; a DID claimed from the community sandbox page is not an organisation and carries no policy metadata. This is BB-01's tier boundary seen from the other side — the opaque </w:t>
      </w:r>
      <w:r>
        <w:rPr>
          <w:rFonts w:ascii="Consolas" w:hAnsi="Consolas"/>
          <w:color w:val="4C535B"/>
          <w:sz w:val="19"/>
        </w:rPr>
        <w:t>t3n_key_…</w:t>
      </w:r>
      <w:r>
        <w:rPr>
          <w:b w:val="0"/>
          <w:color w:val="1A1C20"/>
          <w:sz w:val="21"/>
        </w:rPr>
        <w:t xml:space="preserve"> that the flat </w:t>
      </w:r>
      <w:r>
        <w:rPr>
          <w:rFonts w:ascii="Consolas" w:hAnsi="Consolas"/>
          <w:color w:val="4C535B"/>
          <w:sz w:val="19"/>
        </w:rPr>
        <w:t>invoke()</w:t>
      </w:r>
      <w:r>
        <w:rPr>
          <w:b w:val="0"/>
          <w:color w:val="1A1C20"/>
          <w:sz w:val="21"/>
        </w:rPr>
        <w:t xml:space="preserve"> path demands is exactly what </w:t>
      </w:r>
      <w:r>
        <w:rPr>
          <w:rFonts w:ascii="Consolas" w:hAnsi="Consolas"/>
          <w:color w:val="4C535B"/>
          <w:sz w:val="19"/>
        </w:rPr>
        <w:t>createAgent</w:t>
      </w:r>
      <w:r>
        <w:rPr>
          <w:b w:val="0"/>
          <w:color w:val="1A1C20"/>
          <w:sz w:val="21"/>
        </w:rPr>
        <w:t xml:space="preserve"> would have returned. *Fix:* none from this tier. Rounds run under the tenant identity, and the report says so rather than implying an agent key that does not exist. </w:t>
      </w:r>
      <w:r>
        <w:rPr>
          <w:rFonts w:ascii="Consolas" w:hAnsi="Consolas"/>
          <w:color w:val="4C535B"/>
          <w:sz w:val="19"/>
        </w:rPr>
        <w:t>npm run probe:agent</w:t>
      </w:r>
      <w:r>
        <w:rPr>
          <w:b w:val="0"/>
          <w:color w:val="1A1C20"/>
          <w:sz w:val="21"/>
        </w:rPr>
        <w:t xml:space="preserve"> makes the call in one command and prints whatever the platform answers, so the next person can tell in seconds whether their tier has lifted. *Cost:* no lost time, but it is the largest remaining gap between what this is and what an agent on this platform is meant to be, and it is not closable by writing better code.</w:t>
      </w:r>
    </w:p>
    <w:p>
      <w:pPr>
        <w:pStyle w:val="Heading2"/>
      </w:pPr>
      <w:r>
        <w:t>10. Trying it yourself</w:t>
      </w:r>
    </w:p>
    <w:p>
      <w:r>
        <w:rPr>
          <w:b w:val="0"/>
          <w:color w:val="1A1C20"/>
          <w:sz w:val="21"/>
        </w:rPr>
        <w:t>The reviewer should not have to take any of the above on trust, and does not have to ask us for anything to avoid it. One command, no key, no credits, no account:</w:t>
      </w:r>
    </w:p>
    <w:p>
      <w:pPr>
        <w:spacing w:before="120" w:after="200"/>
        <w:ind w:left="173"/>
        <w:shd w:val="clear" w:color="auto" w:fill="F4F2EE"/>
      </w:pPr>
      <w:r>
        <w:rPr>
          <w:rFonts w:ascii="Consolas" w:hAnsi="Consolas"/>
          <w:color w:val="1A1C20"/>
          <w:sz w:val="17"/>
        </w:rPr>
        <w:t>git clone https://github.com/bryankwandou/blindband &amp;&amp; cd blindband/agent</w:t>
      </w:r>
      <w:r>
        <w:br/>
      </w:r>
      <w:r>
        <w:rPr>
          <w:rFonts w:ascii="Consolas" w:hAnsi="Consolas"/>
          <w:color w:val="1A1C20"/>
          <w:sz w:val="17"/>
        </w:rPr>
        <w:t>npm install</w:t>
      </w:r>
      <w:r>
        <w:br/>
      </w:r>
      <w:r>
        <w:rPr>
          <w:rFonts w:ascii="Consolas" w:hAnsi="Consolas"/>
          <w:color w:val="1A1C20"/>
          <w:sz w:val="17"/>
        </w:rPr>
        <w:t>npm run judge</w:t>
      </w:r>
    </w:p>
    <w:p>
      <w:pPr>
        <w:spacing w:before="120" w:after="200"/>
        <w:ind w:left="173"/>
        <w:shd w:val="clear" w:color="auto" w:fill="F4F2EE"/>
      </w:pPr>
      <w:r>
        <w:rPr>
          <w:rFonts w:ascii="Consolas" w:hAnsi="Consolas"/>
          <w:color w:val="1A1C20"/>
          <w:sz w:val="17"/>
        </w:rPr>
        <w:t>round        : 2026-q1  (blindband-safe-harbour/v1)</w:t>
      </w:r>
      <w:r>
        <w:br/>
      </w:r>
      <w:r>
        <w:rPr>
          <w:rFonts w:ascii="Consolas" w:hAnsi="Consolas"/>
          <w:color w:val="1A1C20"/>
          <w:sz w:val="17"/>
        </w:rPr>
        <w:t>submissions  : 117 rows, read from agent/data/records.json</w:t>
      </w:r>
      <w:r>
        <w:br/>
      </w:r>
      <w:r>
        <w:rPr>
          <w:rFonts w:ascii="Consolas" w:hAnsi="Consolas"/>
          <w:color w:val="1A1C20"/>
          <w:sz w:val="17"/>
        </w:rPr>
        <w:t>rpc          : https://api.devnet.solana.com</w:t>
      </w:r>
      <w:r>
        <w:br/>
      </w:r>
      <w:r>
        <w:rPr>
          <w:rFonts w:ascii="Consolas" w:hAnsi="Consolas"/>
          <w:color w:val="1A1C20"/>
          <w:sz w:val="17"/>
        </w:rPr>
      </w:r>
      <w:r>
        <w:br/>
      </w:r>
      <w:r>
        <w:rPr>
          <w:rFonts w:ascii="Consolas" w:hAnsi="Consolas"/>
          <w:color w:val="1A1C20"/>
          <w:sz w:val="17"/>
        </w:rPr>
        <w:t>[  ok  ] the gates and the maths, recomputed from the raw submissions</w:t>
      </w:r>
      <w:r>
        <w:br/>
      </w:r>
      <w:r>
        <w:rPr>
          <w:rFonts w:ascii="Consolas" w:hAnsi="Consolas"/>
          <w:color w:val="1A1C20"/>
          <w:sz w:val="17"/>
        </w:rPr>
        <w:t xml:space="preserve">         70 fields agree — 4 cells published, 2 withheld (contributor_concentration_exceeded, below_contributor_floor)</w:t>
      </w:r>
      <w:r>
        <w:br/>
      </w:r>
      <w:r>
        <w:rPr>
          <w:rFonts w:ascii="Consolas" w:hAnsi="Consolas"/>
          <w:color w:val="1A1C20"/>
          <w:sz w:val="17"/>
        </w:rPr>
      </w:r>
      <w:r>
        <w:br/>
      </w:r>
      <w:r>
        <w:rPr>
          <w:rFonts w:ascii="Consolas" w:hAnsi="Consolas"/>
          <w:color w:val="1A1C20"/>
          <w:sz w:val="17"/>
        </w:rPr>
        <w:t>[  ok  ] the digest, recomputed from the published bytes</w:t>
      </w:r>
      <w:r>
        <w:br/>
      </w:r>
      <w:r>
        <w:rPr>
          <w:rFonts w:ascii="Consolas" w:hAnsi="Consolas"/>
          <w:color w:val="1A1C20"/>
          <w:sz w:val="17"/>
        </w:rPr>
        <w:t xml:space="preserve">         1589 bytes hashed → e4f528ad321626b2…2f40beef — the digest the enclave attested</w:t>
      </w:r>
      <w:r>
        <w:br/>
      </w:r>
      <w:r>
        <w:rPr>
          <w:rFonts w:ascii="Consolas" w:hAnsi="Consolas"/>
          <w:color w:val="1A1C20"/>
          <w:sz w:val="17"/>
        </w:rPr>
      </w:r>
      <w:r>
        <w:br/>
      </w:r>
      <w:r>
        <w:rPr>
          <w:rFonts w:ascii="Consolas" w:hAnsi="Consolas"/>
          <w:color w:val="1A1C20"/>
          <w:sz w:val="17"/>
        </w:rPr>
        <w:t>[  ok  ] the digest, read back off Solana devnet</w:t>
      </w:r>
      <w:r>
        <w:br/>
      </w:r>
      <w:r>
        <w:rPr>
          <w:rFonts w:ascii="Consolas" w:hAnsi="Consolas"/>
          <w:color w:val="1A1C20"/>
          <w:sz w:val="17"/>
        </w:rPr>
        <w:t xml:space="preserve">         tx 5uczxVJUm4zj… carries d=e4f528ad321626b2… for round 2026-q1,</w:t>
      </w:r>
      <w:r>
        <w:br/>
      </w:r>
      <w:r>
        <w:rPr>
          <w:rFonts w:ascii="Consolas" w:hAnsi="Consolas"/>
          <w:color w:val="1A1C20"/>
          <w:sz w:val="17"/>
        </w:rPr>
        <w:t xml:space="preserve">         written at slot 492821211 — before you asked, and not by anything of ours</w:t>
      </w:r>
      <w:r>
        <w:br/>
      </w:r>
      <w:r>
        <w:rPr>
          <w:rFonts w:ascii="Consolas" w:hAnsi="Consolas"/>
          <w:color w:val="1A1C20"/>
          <w:sz w:val="17"/>
        </w:rPr>
      </w:r>
      <w:r>
        <w:br/>
      </w:r>
      <w:r>
        <w:rPr>
          <w:rFonts w:ascii="Consolas" w:hAnsi="Consolas"/>
          <w:color w:val="1A1C20"/>
          <w:sz w:val="17"/>
        </w:rPr>
        <w:t>[  ok  ] the negative controls — a verifier that can say no</w:t>
      </w:r>
      <w:r>
        <w:br/>
      </w:r>
      <w:r>
        <w:rPr>
          <w:rFonts w:ascii="Consolas" w:hAnsi="Consolas"/>
          <w:color w:val="1A1C20"/>
          <w:sz w:val="17"/>
        </w:rPr>
        <w:t xml:space="preserve">         one median raised by $0.01 → 843d5cdd8ecf6a87…, rejected</w:t>
      </w:r>
      <w:r>
        <w:br/>
      </w:r>
      <w:r>
        <w:rPr>
          <w:rFonts w:ascii="Consolas" w:hAnsi="Consolas"/>
          <w:color w:val="1A1C20"/>
          <w:sz w:val="17"/>
        </w:rPr>
        <w:t xml:space="preserve">         one salary raised by $1.00 → recomputation diverges, rejected</w:t>
      </w:r>
      <w:r>
        <w:br/>
      </w:r>
      <w:r>
        <w:rPr>
          <w:rFonts w:ascii="Consolas" w:hAnsi="Consolas"/>
          <w:color w:val="1A1C20"/>
          <w:sz w:val="17"/>
        </w:rPr>
      </w:r>
      <w:r>
        <w:br/>
      </w:r>
      <w:r>
        <w:rPr>
          <w:rFonts w:ascii="Consolas" w:hAnsi="Consolas"/>
          <w:color w:val="1A1C20"/>
          <w:sz w:val="17"/>
        </w:rPr>
        <w:t>──────────────────────────────────────────────────────────────────────</w:t>
      </w:r>
      <w:r>
        <w:br/>
      </w:r>
      <w:r>
        <w:rPr>
          <w:rFonts w:ascii="Consolas" w:hAnsi="Consolas"/>
          <w:color w:val="1A1C20"/>
          <w:sz w:val="17"/>
        </w:rPr>
        <w:t>4/4 checks passed. The published round is the one the enclave</w:t>
      </w:r>
      <w:r>
        <w:br/>
      </w:r>
      <w:r>
        <w:rPr>
          <w:rFonts w:ascii="Consolas" w:hAnsi="Consolas"/>
          <w:color w:val="1A1C20"/>
          <w:sz w:val="17"/>
        </w:rPr>
        <w:t>produced from these submissions, and the chain agrees.</w:t>
      </w:r>
    </w:p>
    <w:p>
      <w:r>
        <w:rPr>
          <w:b w:val="0"/>
          <w:color w:val="1A1C20"/>
          <w:sz w:val="21"/>
        </w:rPr>
        <w:t xml:space="preserve">The first check is the one that matters most and the one that took the most care to make honest. </w:t>
      </w:r>
      <w:r>
        <w:rPr>
          <w:rFonts w:ascii="Consolas" w:hAnsi="Consolas"/>
          <w:color w:val="4C535B"/>
          <w:sz w:val="19"/>
        </w:rPr>
        <w:t>agent/src/lib/recompute.ts</w:t>
      </w:r>
      <w:r>
        <w:rPr>
          <w:b w:val="0"/>
          <w:color w:val="1A1C20"/>
          <w:sz w:val="21"/>
        </w:rPr>
        <w:t xml:space="preserve"> is a </w:t>
      </w:r>
      <w:r>
        <w:rPr>
          <w:b/>
          <w:color w:val="1A1C20"/>
          <w:sz w:val="21"/>
        </w:rPr>
        <w:t>second implementation</w:t>
      </w:r>
      <w:r>
        <w:rPr>
          <w:b w:val="0"/>
          <w:color w:val="1A1C20"/>
          <w:sz w:val="21"/>
        </w:rPr>
        <w:t xml:space="preserve"> of the four gates and the percentile maths — written in TypeScript against </w:t>
      </w:r>
      <w:r>
        <w:rPr>
          <w:rFonts w:ascii="Consolas" w:hAnsi="Consolas"/>
          <w:color w:val="4C535B"/>
          <w:sz w:val="19"/>
        </w:rPr>
        <w:t>policy.rs</w:t>
      </w:r>
      <w:r>
        <w:rPr>
          <w:b w:val="0"/>
          <w:color w:val="1A1C20"/>
          <w:sz w:val="21"/>
        </w:rPr>
        <w:t xml:space="preserve"> and </w:t>
      </w:r>
      <w:r>
        <w:rPr>
          <w:rFonts w:ascii="Consolas" w:hAnsi="Consolas"/>
          <w:color w:val="4C535B"/>
          <w:sz w:val="19"/>
        </w:rPr>
        <w:t>stats.rs</w:t>
      </w:r>
      <w:r>
        <w:rPr>
          <w:b w:val="0"/>
          <w:color w:val="1A1C20"/>
          <w:sz w:val="21"/>
        </w:rPr>
        <w:t>, sharing no code with them. It reads the 117 raw submissions, folds them into a round of its own, and diffs that against the published round field by field: every percentile, every mean, every contributor count, every top-contributor share, and both withholding reasons. Seventy fields have to agree. A table of plausible-looking numbers typed in by hand does not survive it, and neither would a subtle change to a gate threshold.</w:t>
      </w:r>
    </w:p>
    <w:p>
      <w:r>
        <w:rPr>
          <w:b w:val="0"/>
          <w:color w:val="1A1C20"/>
          <w:sz w:val="21"/>
        </w:rPr>
        <w:t xml:space="preserve">The fourth check exists for the opposite reason. A verifier that only ever prints </w:t>
      </w:r>
      <w:r>
        <w:rPr>
          <w:rFonts w:ascii="Consolas" w:hAnsi="Consolas"/>
          <w:color w:val="4C535B"/>
          <w:sz w:val="19"/>
        </w:rPr>
        <w:t>ok</w:t>
      </w:r>
      <w:r>
        <w:rPr>
          <w:b w:val="0"/>
          <w:color w:val="1A1C20"/>
          <w:sz w:val="21"/>
        </w:rPr>
        <w:t xml:space="preserve"> is worthless, and from the outside it looks identical to one that works. So the harness tampers with its own inputs — one median raised by a cent, one salary raised by a dollar — and requires both to be rejected before it reports success.</w:t>
      </w:r>
    </w:p>
    <w:p>
      <w:pPr>
        <w:pStyle w:val="Heading3"/>
      </w:pPr>
      <w:r>
        <w:t>Running the agent, not just checking its homework</w:t>
      </w:r>
    </w:p>
    <w:p>
      <w:r>
        <w:rPr>
          <w:b w:val="0"/>
          <w:color w:val="1A1C20"/>
          <w:sz w:val="21"/>
        </w:rPr>
        <w:t>Verifying a past round is one thing; a reviewer is entitled to ask whether the agent can be *used*. It can, on their own data, offline, with no account:</w:t>
      </w:r>
    </w:p>
    <w:p>
      <w:pPr>
        <w:spacing w:before="120" w:after="200"/>
        <w:ind w:left="173"/>
        <w:shd w:val="clear" w:color="auto" w:fill="F4F2EE"/>
      </w:pPr>
      <w:r>
        <w:rPr>
          <w:rFonts w:ascii="Consolas" w:hAnsi="Consolas"/>
          <w:color w:val="1A1C20"/>
          <w:sz w:val="17"/>
        </w:rPr>
        <w:t>cd contract</w:t>
      </w:r>
      <w:r>
        <w:br/>
      </w:r>
      <w:r>
        <w:rPr>
          <w:rFonts w:ascii="Consolas" w:hAnsi="Consolas"/>
          <w:color w:val="1A1C20"/>
          <w:sz w:val="17"/>
        </w:rPr>
        <w:t>cargo run --example replay -- examples/payroll-sample.csv --round-id demo</w:t>
      </w:r>
    </w:p>
    <w:p>
      <w:pPr>
        <w:spacing w:before="120" w:after="200"/>
        <w:ind w:left="173"/>
        <w:shd w:val="clear" w:color="auto" w:fill="F4F2EE"/>
      </w:pPr>
      <w:r>
        <w:rPr>
          <w:rFonts w:ascii="Consolas" w:hAnsi="Consolas"/>
          <w:color w:val="1A1C20"/>
          <w:sz w:val="17"/>
        </w:rPr>
        <w:t>ingested 30 rows from 5 contributors — 5 too recent, 0 malformed</w:t>
      </w:r>
      <w:r>
        <w:br/>
      </w:r>
      <w:r>
        <w:rPr>
          <w:rFonts w:ascii="Consolas" w:hAnsi="Consolas"/>
          <w:color w:val="1A1C20"/>
          <w:sz w:val="17"/>
        </w:rPr>
        <w:t>1 cells published, 2 withheld</w:t>
      </w:r>
      <w:r>
        <w:br/>
      </w:r>
      <w:r>
        <w:rPr>
          <w:rFonts w:ascii="Consolas" w:hAnsi="Consolas"/>
          <w:color w:val="1A1C20"/>
          <w:sz w:val="17"/>
        </w:rPr>
      </w:r>
      <w:r>
        <w:br/>
      </w:r>
      <w:r>
        <w:rPr>
          <w:rFonts w:ascii="Consolas" w:hAnsi="Consolas"/>
          <w:color w:val="1A1C20"/>
          <w:sz w:val="17"/>
        </w:rPr>
        <w:t>PUBLISHED</w:t>
      </w:r>
      <w:r>
        <w:br/>
      </w:r>
      <w:r>
        <w:rPr>
          <w:rFonts w:ascii="Consolas" w:hAnsi="Consolas"/>
          <w:color w:val="1A1C20"/>
          <w:sz w:val="17"/>
        </w:rPr>
        <w:t xml:space="preserve">  cell                     cur          p10    median       p90  firms  top firm</w:t>
      </w:r>
      <w:r>
        <w:br/>
      </w:r>
      <w:r>
        <w:rPr>
          <w:rFonts w:ascii="Consolas" w:hAnsi="Consolas"/>
          <w:color w:val="1A1C20"/>
          <w:sz w:val="17"/>
        </w:rPr>
        <w:t xml:space="preserve">  backend engineer l4      EUR      6916.00   7415.00   8009.00      5    25.00%</w:t>
      </w:r>
      <w:r>
        <w:br/>
      </w:r>
      <w:r>
        <w:rPr>
          <w:rFonts w:ascii="Consolas" w:hAnsi="Consolas"/>
          <w:color w:val="1A1C20"/>
          <w:sz w:val="17"/>
        </w:rPr>
      </w:r>
      <w:r>
        <w:br/>
      </w:r>
      <w:r>
        <w:rPr>
          <w:rFonts w:ascii="Consolas" w:hAnsi="Consolas"/>
          <w:color w:val="1A1C20"/>
          <w:sz w:val="17"/>
        </w:rPr>
        <w:t>WITHHELD</w:t>
      </w:r>
      <w:r>
        <w:br/>
      </w:r>
      <w:r>
        <w:rPr>
          <w:rFonts w:ascii="Consolas" w:hAnsi="Consolas"/>
          <w:color w:val="1A1C20"/>
          <w:sz w:val="17"/>
        </w:rPr>
        <w:t xml:space="preserve">  data scientist l5        contributor_concentration_exceeded     5 firms / 10 rows</w:t>
      </w:r>
      <w:r>
        <w:br/>
      </w:r>
      <w:r>
        <w:rPr>
          <w:rFonts w:ascii="Consolas" w:hAnsi="Consolas"/>
          <w:color w:val="1A1C20"/>
          <w:sz w:val="17"/>
        </w:rPr>
        <w:t xml:space="preserve">  engineering manager m2   below_contributor_floor                3 firms / 3 rows</w:t>
      </w:r>
    </w:p>
    <w:p>
      <w:r>
        <w:rPr>
          <w:b w:val="0"/>
          <w:color w:val="1A1C20"/>
          <w:sz w:val="21"/>
        </w:rPr>
        <w:t xml:space="preserve">This is not a demonstration written to look like the enclave. It calls </w:t>
      </w:r>
      <w:r>
        <w:rPr>
          <w:rFonts w:ascii="Consolas" w:hAnsi="Consolas"/>
          <w:color w:val="4C535B"/>
          <w:sz w:val="19"/>
        </w:rPr>
        <w:t>policy::aggregate</w:t>
      </w:r>
      <w:r>
        <w:rPr>
          <w:b w:val="0"/>
          <w:color w:val="1A1C20"/>
          <w:sz w:val="21"/>
        </w:rPr>
        <w:t xml:space="preserve"> and </w:t>
      </w:r>
      <w:r>
        <w:rPr>
          <w:rFonts w:ascii="Consolas" w:hAnsi="Consolas"/>
          <w:color w:val="4C535B"/>
          <w:sz w:val="19"/>
        </w:rPr>
        <w:t>policy::round_digest</w:t>
      </w:r>
      <w:r>
        <w:rPr>
          <w:b w:val="0"/>
          <w:color w:val="1A1C20"/>
          <w:sz w:val="21"/>
        </w:rPr>
        <w:t xml:space="preserve"> out of the same crate that was compiled to </w:t>
      </w:r>
      <w:r>
        <w:rPr>
          <w:rFonts w:ascii="Consolas" w:hAnsi="Consolas"/>
          <w:color w:val="4C535B"/>
          <w:sz w:val="19"/>
        </w:rPr>
        <w:t>wasm32-wasip2</w:t>
      </w:r>
      <w:r>
        <w:rPr>
          <w:b w:val="0"/>
          <w:color w:val="1A1C20"/>
          <w:sz w:val="21"/>
        </w:rPr>
        <w:t xml:space="preserve"> and registered as the component — the same code paths, the same constants, the same gates. The enclave is what keeps the inputs sealed from the other members; it does not get a vote on the arithmetic.</w:t>
      </w:r>
    </w:p>
    <w:p>
      <w:r>
        <w:rPr>
          <w:b w:val="0"/>
          <w:color w:val="1A1C20"/>
          <w:sz w:val="21"/>
        </w:rPr>
        <w:t>The sample file makes all four gates fire in one run, deliberately. The one published cell sits at exactly 25.00% concentration — one row either way and it is withheld. The five product designer rows never reach the maths, because their pay is effective in 2030 and gate 1 drops anything less than 91 days old.</w:t>
      </w:r>
    </w:p>
    <w:p>
      <w:r>
        <w:rPr>
          <w:b w:val="0"/>
          <w:color w:val="1A1C20"/>
          <w:sz w:val="21"/>
        </w:rPr>
        <w:t>A reviewer can point it at their own extract instead. The header row is the whole schema:</w:t>
      </w:r>
    </w:p>
    <w:p>
      <w:pPr>
        <w:spacing w:before="120" w:after="200"/>
        <w:ind w:left="173"/>
        <w:shd w:val="clear" w:color="auto" w:fill="F4F2EE"/>
      </w:pPr>
      <w:r>
        <w:rPr>
          <w:rFonts w:ascii="Consolas" w:hAnsi="Consolas"/>
          <w:color w:val="1A1C20"/>
          <w:sz w:val="17"/>
        </w:rPr>
        <w:t>contributor,role,level,region,currency,base_minor,effective_at</w:t>
      </w:r>
      <w:r>
        <w:br/>
      </w:r>
      <w:r>
        <w:rPr>
          <w:rFonts w:ascii="Consolas" w:hAnsi="Consolas"/>
          <w:color w:val="1A1C20"/>
          <w:sz w:val="17"/>
        </w:rPr>
        <w:t>acme,Backend Engineer,L4,EU,EUR,720000,1755000000</w:t>
      </w:r>
    </w:p>
    <w:p>
      <w:r>
        <w:rPr>
          <w:b w:val="0"/>
          <w:color w:val="1A1C20"/>
          <w:sz w:val="21"/>
        </w:rPr>
        <w:t>Move a salary, remove a contributor, change a date, and watch cells stop being publishable. That is the product argument, made on the reviewer's own numbers rather than ours.</w:t>
      </w:r>
    </w:p>
    <w:p>
      <w:pPr>
        <w:pStyle w:val="Heading3"/>
      </w:pPr>
      <w:r>
        <w:t>Deriving the anchored digest on your own machine</w:t>
      </w:r>
    </w:p>
    <w:p>
      <w:r>
        <w:rPr>
          <w:b w:val="0"/>
          <w:color w:val="1A1C20"/>
          <w:sz w:val="21"/>
        </w:rPr>
        <w:t>The same command rebuilds the round that is on Solana:</w:t>
      </w:r>
    </w:p>
    <w:p>
      <w:pPr>
        <w:spacing w:before="120" w:after="200"/>
        <w:ind w:left="173"/>
        <w:shd w:val="clear" w:color="auto" w:fill="F4F2EE"/>
      </w:pPr>
      <w:r>
        <w:rPr>
          <w:rFonts w:ascii="Consolas" w:hAnsi="Consolas"/>
          <w:color w:val="1A1C20"/>
          <w:sz w:val="17"/>
        </w:rPr>
        <w:t>cargo run --example replay -- --replay</w:t>
      </w:r>
    </w:p>
    <w:p>
      <w:pPr>
        <w:spacing w:before="120" w:after="200"/>
        <w:ind w:left="173"/>
        <w:shd w:val="clear" w:color="auto" w:fill="F4F2EE"/>
      </w:pPr>
      <w:r>
        <w:rPr>
          <w:rFonts w:ascii="Consolas" w:hAnsi="Consolas"/>
          <w:color w:val="1A1C20"/>
          <w:sz w:val="17"/>
        </w:rPr>
        <w:t>digest       : e4f528ad321626b2daf9b667188937609cd160a21a739d542eabd44a2f40beef</w:t>
      </w:r>
      <w:r>
        <w:br/>
      </w:r>
      <w:r>
        <w:rPr>
          <w:rFonts w:ascii="Consolas" w:hAnsi="Consolas"/>
          <w:color w:val="1A1C20"/>
          <w:sz w:val="17"/>
        </w:rPr>
        <w:t>expected     : e4f528ad321626b2daf9b667188937609cd160a21a739d542eabd44a2f40beef</w:t>
      </w:r>
      <w:r>
        <w:br/>
      </w:r>
      <w:r>
        <w:rPr>
          <w:rFonts w:ascii="Consolas" w:hAnsi="Consolas"/>
          <w:color w:val="1A1C20"/>
          <w:sz w:val="17"/>
        </w:rPr>
      </w:r>
      <w:r>
        <w:br/>
      </w:r>
      <w:r>
        <w:rPr>
          <w:rFonts w:ascii="Consolas" w:hAnsi="Consolas"/>
          <w:color w:val="1A1C20"/>
          <w:sz w:val="17"/>
        </w:rPr>
        <w:t>[  ok  ] this machine derived the digest that is anchored on Solana devnet.</w:t>
      </w:r>
      <w:r>
        <w:br/>
      </w:r>
      <w:r>
        <w:rPr>
          <w:rFonts w:ascii="Consolas" w:hAnsi="Consolas"/>
          <w:color w:val="1A1C20"/>
          <w:sz w:val="17"/>
        </w:rPr>
        <w:t xml:space="preserve">         Same inputs, same code, same answer — no enclave, no key, no network.</w:t>
      </w:r>
    </w:p>
    <w:p>
      <w:r>
        <w:rPr>
          <w:rFonts w:ascii="Consolas" w:hAnsi="Consolas"/>
          <w:color w:val="4C535B"/>
          <w:sz w:val="19"/>
        </w:rPr>
        <w:t>agent/data/receipts.json</w:t>
      </w:r>
      <w:r>
        <w:rPr>
          <w:b w:val="0"/>
          <w:color w:val="1A1C20"/>
          <w:sz w:val="21"/>
        </w:rPr>
        <w:t xml:space="preserve"> is committed for this reason: the commitments it holds are what allow the 117 submissions to be reconstructed exactly as the ledger held them, rather than approximately. With them, a laptop with no credentials derives </w:t>
      </w:r>
      <w:r>
        <w:rPr>
          <w:rFonts w:ascii="Consolas" w:hAnsi="Consolas"/>
          <w:color w:val="4C535B"/>
          <w:sz w:val="19"/>
        </w:rPr>
        <w:t>e4f528ad…beef</w:t>
      </w:r>
      <w:r>
        <w:rPr>
          <w:b w:val="0"/>
          <w:color w:val="1A1C20"/>
          <w:sz w:val="21"/>
        </w:rPr>
        <w:t xml:space="preserve"> — the digest written to devnet on 4 September, in a transaction that predates the reviewer's interest in it.</w:t>
      </w:r>
    </w:p>
    <w:p>
      <w:r>
        <w:rPr>
          <w:b w:val="0"/>
          <w:color w:val="1A1C20"/>
          <w:sz w:val="21"/>
        </w:rPr>
        <w:t xml:space="preserve">The four checks in </w:t>
      </w:r>
      <w:r>
        <w:rPr>
          <w:rFonts w:ascii="Consolas" w:hAnsi="Consolas"/>
          <w:color w:val="4C535B"/>
          <w:sz w:val="19"/>
        </w:rPr>
        <w:t>npm run judge</w:t>
      </w:r>
      <w:r>
        <w:rPr>
          <w:b w:val="0"/>
          <w:color w:val="1A1C20"/>
          <w:sz w:val="21"/>
        </w:rPr>
        <w:t xml:space="preserve"> show the published round is internally consistent and that the chain agrees. This shows something stronger: the round is *derivable*. Nothing about it has to be taken on our word, including the claim that an enclave ran it.</w:t>
      </w:r>
    </w:p>
    <w:p>
      <w:pPr>
        <w:pStyle w:val="Heading3"/>
      </w:pPr>
      <w:r>
        <w:t>Reading the anchor without any of our code</w:t>
      </w:r>
    </w:p>
    <w:p>
      <w:r>
        <w:rPr>
          <w:b w:val="0"/>
          <w:color w:val="1A1C20"/>
          <w:sz w:val="21"/>
        </w:rPr>
        <w:t xml:space="preserve">Only the third check needs the internet, and it reaches a public Solana RPC endpoint rather than anything we run. The same fact can be read with </w:t>
      </w:r>
      <w:r>
        <w:rPr>
          <w:rFonts w:ascii="Consolas" w:hAnsi="Consolas"/>
          <w:color w:val="4C535B"/>
          <w:sz w:val="19"/>
        </w:rPr>
        <w:t>curl</w:t>
      </w:r>
      <w:r>
        <w:rPr>
          <w:b w:val="0"/>
          <w:color w:val="1A1C20"/>
          <w:sz w:val="21"/>
        </w:rPr>
        <w:t xml:space="preserve"> and no code of ours at all:</w:t>
      </w:r>
    </w:p>
    <w:p>
      <w:pPr>
        <w:spacing w:before="120" w:after="200"/>
        <w:ind w:left="173"/>
        <w:shd w:val="clear" w:color="auto" w:fill="F4F2EE"/>
      </w:pPr>
      <w:r>
        <w:rPr>
          <w:rFonts w:ascii="Consolas" w:hAnsi="Consolas"/>
          <w:color w:val="1A1C20"/>
          <w:sz w:val="17"/>
        </w:rPr>
        <w:t>curl -s -X POST https://api.devnet.solana.com -H 'Content-Type: application/json' \</w:t>
      </w:r>
      <w:r>
        <w:br/>
      </w:r>
      <w:r>
        <w:rPr>
          <w:rFonts w:ascii="Consolas" w:hAnsi="Consolas"/>
          <w:color w:val="1A1C20"/>
          <w:sz w:val="17"/>
        </w:rPr>
        <w:t xml:space="preserve">  -d '{"jsonrpc":"2.0","id":1,"method":"getTransaction","params":["5uczxVJUm4zjwDms6R5eDC9H1G3gypRUuDA1p2B1x14bXP8QCezrFxZLgfRzfGCJLG3HDJ7ubfsWpiZBG4AJE3Hf",{"encoding":"jsonParsed","maxSupportedTransactionVersion":0}]}'</w:t>
      </w:r>
    </w:p>
    <w:p>
      <w:r>
        <w:rPr>
          <w:b w:val="0"/>
          <w:color w:val="1A1C20"/>
          <w:sz w:val="21"/>
        </w:rPr>
        <w:t xml:space="preserve">Or press the button on </w:t>
      </w:r>
      <w:hyperlink r:id="rId26">
        <w:r>
          <w:rPr>
            <w:color w:val="8F6210"/>
            <w:u w:val="single"/>
          </w:rPr>
          <w:t>/en/verify</w:t>
        </w:r>
      </w:hyperlink>
      <w:r>
        <w:rPr>
          <w:b w:val="0"/>
          <w:color w:val="1A1C20"/>
          <w:sz w:val="21"/>
        </w:rPr>
        <w:t>, where the digest is recomputed in the browser with the Web Crypto API.</w:t>
      </w:r>
    </w:p>
    <w:p>
      <w:r>
        <w:rPr>
          <w:b w:val="0"/>
          <w:color w:val="1A1C20"/>
          <w:sz w:val="21"/>
        </w:rPr>
        <w:t>The gates also carry their own unit tests, with no node and no JavaScript:</w:t>
      </w:r>
    </w:p>
    <w:p>
      <w:pPr>
        <w:spacing w:before="120" w:after="200"/>
        <w:ind w:left="173"/>
        <w:shd w:val="clear" w:color="auto" w:fill="F4F2EE"/>
      </w:pPr>
      <w:r>
        <w:rPr>
          <w:rFonts w:ascii="Consolas" w:hAnsi="Consolas"/>
          <w:color w:val="1A1C20"/>
          <w:sz w:val="17"/>
        </w:rPr>
        <w:t>cd contract &amp;&amp; cargo test     # 30 tests on the percentile maths and the five gates</w:t>
      </w:r>
    </w:p>
    <w:p>
      <w:r>
        <w:rPr>
          <w:b w:val="0"/>
          <w:color w:val="1A1C20"/>
          <w:sz w:val="21"/>
        </w:rPr>
        <w:t>Only the third tier — asking the enclave itself — needs a T3N key, because it spends the reviewer's credits rather than ours:</w:t>
      </w:r>
    </w:p>
    <w:p>
      <w:pPr>
        <w:spacing w:before="120" w:after="200"/>
        <w:ind w:left="173"/>
        <w:shd w:val="clear" w:color="auto" w:fill="F4F2EE"/>
      </w:pPr>
      <w:r>
        <w:rPr>
          <w:rFonts w:ascii="Consolas" w:hAnsi="Consolas"/>
          <w:color w:val="1A1C20"/>
          <w:sz w:val="17"/>
        </w:rPr>
        <w:t>cd agent &amp;&amp; cp .env.example .env   # T3N_API_KEY, SOLANA_SEED_HEX</w:t>
      </w:r>
      <w:r>
        <w:br/>
      </w:r>
      <w:r>
        <w:rPr>
          <w:rFonts w:ascii="Consolas" w:hAnsi="Consolas"/>
          <w:color w:val="1A1C20"/>
          <w:sz w:val="17"/>
        </w:rPr>
        <w:t>npm run deploy -- --dry-run        # free: names your tenant, prints your balance,</w:t>
      </w:r>
      <w:r>
        <w:br/>
      </w:r>
      <w:r>
        <w:rPr>
          <w:rFonts w:ascii="Consolas" w:hAnsi="Consolas"/>
          <w:color w:val="1A1C20"/>
          <w:sz w:val="17"/>
        </w:rPr>
        <w:t xml:space="preserve">                                   # and says what the real deploy would do</w:t>
      </w:r>
      <w:r>
        <w:br/>
      </w:r>
      <w:r>
        <w:rPr>
          <w:rFonts w:ascii="Consolas" w:hAnsi="Consolas"/>
          <w:color w:val="1A1C20"/>
          <w:sz w:val="17"/>
        </w:rPr>
        <w:t>npm run probe:agent                # free: asks whether your tier can hold an agent key</w:t>
      </w:r>
    </w:p>
    <w:p>
      <w:r>
        <w:rPr>
          <w:rFonts w:ascii="Consolas" w:hAnsi="Consolas"/>
          <w:color w:val="4C535B"/>
          <w:sz w:val="19"/>
        </w:rPr>
        <w:t>--dry-run</w:t>
      </w:r>
      <w:r>
        <w:rPr>
          <w:b w:val="0"/>
          <w:color w:val="1A1C20"/>
          <w:sz w:val="21"/>
        </w:rPr>
        <w:t xml:space="preserve"> exists because the first thing anyone inheriting this should be able to do is confirm their credentials work without spending 10,000,000,000 base units to find out. </w:t>
      </w:r>
      <w:r>
        <w:rPr>
          <w:rFonts w:ascii="Consolas" w:hAnsi="Consolas"/>
          <w:color w:val="4C535B"/>
          <w:sz w:val="19"/>
        </w:rPr>
        <w:t>probe:agent</w:t>
      </w:r>
      <w:r>
        <w:rPr>
          <w:b w:val="0"/>
          <w:color w:val="1A1C20"/>
          <w:sz w:val="21"/>
        </w:rPr>
        <w:t xml:space="preserve"> is the same courtesy applied to BB-11: rather than asking anyone to believe that delegated agent provisioning is unavailable on the sandbox tier, it makes the call and prints whatever the platform says.</w:t>
      </w:r>
    </w:p>
    <w:p>
      <w:pPr>
        <w:pStyle w:val="Heading2"/>
      </w:pPr>
      <w:r>
        <w:t>11. Status, honestly</w:t>
      </w:r>
    </w:p>
    <w:p>
      <w:r>
        <w:rPr>
          <w:b w:val="0"/>
          <w:color w:val="1A1C20"/>
          <w:sz w:val="21"/>
        </w:rPr>
        <w:t>The pipeline is real and every number in this report came out of it. Two things are open before anyone's actual payroll should go near it:</w:t>
      </w:r>
    </w:p>
    <w:p>
      <w:pPr>
        <w:pStyle w:val="ListNumber"/>
      </w:pPr>
      <w:r>
        <w:rPr>
          <w:b w:val="0"/>
          <w:color w:val="1A1C20"/>
          <w:sz w:val="21"/>
        </w:rPr>
        <w:t xml:space="preserve">It runs on a </w:t>
      </w:r>
      <w:r>
        <w:rPr>
          <w:b/>
          <w:color w:val="1A1C20"/>
          <w:sz w:val="21"/>
        </w:rPr>
        <w:t>sandbox tenant with test credits</w:t>
      </w:r>
      <w:r>
        <w:rPr>
          <w:b w:val="0"/>
          <w:color w:val="1A1C20"/>
          <w:sz w:val="21"/>
        </w:rPr>
        <w:t>.</w:t>
      </w:r>
    </w:p>
    <w:p>
      <w:pPr>
        <w:pStyle w:val="ListNumber"/>
      </w:pPr>
      <w:r>
        <w:rPr>
          <w:b w:val="0"/>
          <w:color w:val="1A1C20"/>
          <w:sz w:val="21"/>
        </w:rPr>
        <w:t xml:space="preserve">Rounds currently execute under the </w:t>
      </w:r>
      <w:r>
        <w:rPr>
          <w:b/>
          <w:color w:val="1A1C20"/>
          <w:sz w:val="21"/>
        </w:rPr>
        <w:t>tenant identity</w:t>
      </w:r>
      <w:r>
        <w:rPr>
          <w:b w:val="0"/>
          <w:color w:val="1A1C20"/>
          <w:sz w:val="21"/>
        </w:rPr>
        <w:t>, not a delegated agent key. The agent reports which identity ran a round rather than pretending it was the agent.</w:t>
      </w:r>
    </w:p>
    <w:p>
      <w:pPr>
        <w:pStyle w:val="ListNumber"/>
      </w:pPr>
      <w:r>
        <w:rPr>
          <w:b/>
          <w:color w:val="1A1C20"/>
          <w:sz w:val="21"/>
        </w:rPr>
        <w:t>Gate 5 exists, but it has never run on a live round, because there has only been one.</w:t>
      </w:r>
      <w:r>
        <w:rPr>
          <w:b w:val="0"/>
          <w:color w:val="1A1C20"/>
          <w:sz w:val="21"/>
        </w:rPr>
        <w:t xml:space="preserve"> The first four gates each judge a round in isolation, and a consortium runs quarterly: if one firm joins or leaves a cell, the change in that cell's median was computed from that firm's rows and nothing else, so subtracting two published rounds reads it off. </w:t>
      </w:r>
      <w:r>
        <w:rPr>
          <w:rFonts w:ascii="Consolas" w:hAnsi="Consolas"/>
          <w:color w:val="4C535B"/>
          <w:sz w:val="19"/>
        </w:rPr>
        <w:t>policy::aggregate_with_history</w:t>
      </w:r>
      <w:r>
        <w:rPr>
          <w:b w:val="0"/>
          <w:color w:val="1A1C20"/>
          <w:sz w:val="21"/>
        </w:rPr>
        <w:t xml:space="preserve"> republishes a cell only when its contributor set is unchanged or at least </w:t>
      </w:r>
      <w:r>
        <w:rPr>
          <w:rFonts w:ascii="Consolas" w:hAnsi="Consolas"/>
          <w:color w:val="4C535B"/>
          <w:sz w:val="19"/>
        </w:rPr>
        <w:t>MIN_CONTRIBUTOR_CHURN</w:t>
      </w:r>
      <w:r>
        <w:rPr>
          <w:b w:val="0"/>
          <w:color w:val="1A1C20"/>
          <w:sz w:val="21"/>
        </w:rPr>
        <w:t xml:space="preserve"> organisations moved together, and eleven tests in </w:t>
      </w:r>
      <w:r>
        <w:rPr>
          <w:rFonts w:ascii="Consolas" w:hAnsi="Consolas"/>
          <w:color w:val="4C535B"/>
          <w:sz w:val="19"/>
        </w:rPr>
        <w:t>contract/tests/safe_harbour.rs</w:t>
      </w:r>
      <w:r>
        <w:rPr>
          <w:b w:val="0"/>
          <w:color w:val="1A1C20"/>
          <w:sz w:val="21"/>
        </w:rPr>
        <w:t xml:space="preserve"> hold it to that. The contract calls it: </w:t>
      </w:r>
      <w:r>
        <w:rPr>
          <w:rFonts w:ascii="Consolas" w:hAnsi="Consolas"/>
          <w:color w:val="4C535B"/>
          <w:sz w:val="19"/>
        </w:rPr>
        <w:t>compute-round</w:t>
      </w:r>
      <w:r>
        <w:rPr>
          <w:b w:val="0"/>
          <w:color w:val="1A1C20"/>
          <w:sz w:val="21"/>
        </w:rPr>
        <w:t xml:space="preserve"> takes an optional </w:t>
      </w:r>
      <w:r>
        <w:rPr>
          <w:rFonts w:ascii="Consolas" w:hAnsi="Consolas"/>
          <w:color w:val="4C535B"/>
          <w:sz w:val="19"/>
        </w:rPr>
        <w:t>follows</w:t>
      </w:r>
      <w:r>
        <w:rPr>
          <w:b w:val="0"/>
          <w:color w:val="1A1C20"/>
          <w:sz w:val="21"/>
        </w:rPr>
        <w:t xml:space="preserve">, and when a round names its predecessor the enclave reads that round's sealed submissions to build the contributor sets — never the published round, which carries counts and not names on purpose. </w:t>
      </w:r>
      <w:r>
        <w:rPr>
          <w:rFonts w:ascii="Consolas" w:hAnsi="Consolas"/>
          <w:color w:val="4C535B"/>
          <w:sz w:val="19"/>
        </w:rPr>
        <w:t>cargo run --example replay -- --differencing</w:t>
      </w:r>
      <w:r>
        <w:rPr>
          <w:b w:val="0"/>
          <w:color w:val="1A1C20"/>
          <w:sz w:val="21"/>
        </w:rPr>
        <w:t xml:space="preserve"> runs it on the real 117 submissions: it prints the figure the first four gates would have leaked about one firm, then withholds the cell. It compares a cell against every round that cell was published in, not merely the one before: withhold a cell in Q2, republish it in Q3 with one firm fewer than Q1 had, and no adjacent pair catches it while Q3 − Q1 still names that firm. What it has not done is decide a real quarter, because there has only been one.</w:t>
      </w:r>
    </w:p>
    <w:p>
      <w:r>
        <w:rPr>
          <w:b w:val="0"/>
          <w:color w:val="1A1C20"/>
          <w:sz w:val="21"/>
        </w:rPr>
        <w:t>And BB-02 means attestation is currently unverifiable against the sandbox node. That is a platform issue, but it is a load-bearing one for this product, so it belongs in the summary rather than a footnote.</w:t>
      </w:r>
    </w:p>
    <w:p>
      <w:pPr>
        <w:pStyle w:val="Heading2"/>
      </w:pPr>
      <w:r>
        <w:t>12. Who runs it, and the questions code cannot answer</w:t>
      </w:r>
    </w:p>
    <w:p>
      <w:r>
        <w:rPr>
          <w:b w:val="0"/>
          <w:color w:val="1A1C20"/>
          <w:sz w:val="21"/>
        </w:rPr>
        <w:t>A cryptographic mechanism is not yet a system a consortium can operate. Four questions decide whether this becomes one, and none of them is answered by any line in this repository.</w:t>
      </w:r>
    </w:p>
    <w:p>
      <w:r>
        <w:rPr>
          <w:b/>
          <w:color w:val="1A1C20"/>
          <w:sz w:val="21"/>
        </w:rPr>
        <w:t>Who is the neutral aggregator?</w:t>
      </w:r>
      <w:r>
        <w:rPr>
          <w:b w:val="0"/>
          <w:color w:val="1A1C20"/>
          <w:sz w:val="21"/>
        </w:rPr>
        <w:t xml:space="preserve"> Today it is a sandbox tenant belonging to the author, which is the one arrangement a real consortium must not accept: the first gate says no member sees another's rows, and it means nothing if the operator is a member. The candidates are an industry body, the consortium's shared counsel, or the platform itself. The code is indifferent — re-pointing at a different tenant is two environment variables — and the choice is governance, not engineering.</w:t>
      </w:r>
    </w:p>
    <w:p>
      <w:r>
        <w:rPr>
          <w:b/>
          <w:color w:val="1A1C20"/>
          <w:sz w:val="21"/>
        </w:rPr>
        <w:t>Who may change the ruleset?</w:t>
      </w:r>
      <w:r>
        <w:rPr>
          <w:b w:val="0"/>
          <w:color w:val="1A1C20"/>
          <w:sz w:val="21"/>
        </w:rPr>
        <w:t xml:space="preserve"> A change is at least *visible*: the ruleset id is inside every round and therefore inside the digest that is anchored, so a round produced under different rules can never be mistaken for one produced under these. What the code does not say is who is allowed to make that change. In practice it should be whoever signed off on the gates in the first place, and that is a contract between members rather than a permission bit.</w:t>
      </w:r>
    </w:p>
    <w:p>
      <w:r>
        <w:rPr>
          <w:b/>
          <w:color w:val="1A1C20"/>
          <w:sz w:val="21"/>
        </w:rPr>
        <w:t>What stops a member submitting false data?</w:t>
      </w:r>
      <w:r>
        <w:rPr>
          <w:b w:val="0"/>
          <w:color w:val="1A1C20"/>
          <w:sz w:val="21"/>
        </w:rPr>
        <w:t xml:space="preserve"> Nothing here does. The gates protect members from each other's curiosity, not from each other's lying. A firm that inflates its rows moves the band it is measured against, and this design cannot detect that, because detecting it would require reading rows — which is precisely what it is built not to do. A real deployment needs an attested payroll export or a periodic audit of a member's submission against their filings. That is a whole second product, and pretending otherwise would be the easiest place in this document to be dishonest.</w:t>
      </w:r>
    </w:p>
    <w:p>
      <w:r>
        <w:rPr>
          <w:b/>
          <w:color w:val="1A1C20"/>
          <w:sz w:val="21"/>
        </w:rPr>
        <w:t>What does joining or leaving cost?</w:t>
      </w:r>
      <w:r>
        <w:rPr>
          <w:b w:val="0"/>
          <w:color w:val="1A1C20"/>
          <w:sz w:val="21"/>
        </w:rPr>
        <w:t xml:space="preserve"> Joining is a tenant-side ACL change. Leaving is more expensive than it looks, and gate 5 is why: a firm that departs withholds every cell whose contributor set it alone moved, for that round. That is the gate working as intended, and it is also an operational cost a consortium should be told about before its first quarter rather than after — one member leaving can cost everyone else a band.</w:t>
      </w:r>
    </w:p>
    <w:p>
      <w:pPr>
        <w:pStyle w:val="Heading2"/>
      </w:pPr>
      <w:r>
        <w:t>13. Continuing or handing over</w:t>
      </w:r>
    </w:p>
    <w:p>
      <w:r>
        <w:rPr>
          <w:b/>
          <w:color w:val="1A1C20"/>
          <w:sz w:val="21"/>
        </w:rPr>
        <w:t>I would like to keep running it</w:t>
      </w:r>
      <w:r>
        <w:rPr>
          <w:b w:val="0"/>
          <w:color w:val="1A1C20"/>
          <w:sz w:val="21"/>
        </w:rPr>
        <w:t xml:space="preserve"> and take it toward a consortium pilot — the interesting work is signing up the first five firms and finding out where the gates are wrong in practice, which needs an operator rather than a maintainer.</w:t>
      </w:r>
    </w:p>
    <w:p>
      <w:r>
        <w:rPr>
          <w:b w:val="0"/>
          <w:color w:val="1A1C20"/>
          <w:sz w:val="21"/>
        </w:rPr>
        <w:t>If Terminal 3 would rather host it, the handover is small:</w:t>
      </w:r>
    </w:p>
    <w:p>
      <w:pPr>
        <w:pStyle w:val="ListBullet"/>
      </w:pPr>
      <w:r>
        <w:rPr>
          <w:b w:val="0"/>
          <w:color w:val="1A1C20"/>
          <w:sz w:val="21"/>
        </w:rPr>
        <w:t>The repository is self-contained: contract, agent and site in one tree.</w:t>
      </w:r>
    </w:p>
    <w:p>
      <w:pPr>
        <w:pStyle w:val="ListBullet"/>
      </w:pPr>
      <w:r>
        <w:rPr>
          <w:rFonts w:ascii="Consolas" w:hAnsi="Consolas"/>
          <w:color w:val="4C535B"/>
          <w:sz w:val="19"/>
        </w:rPr>
        <w:t>npm run deploy</w:t>
      </w:r>
      <w:r>
        <w:rPr>
          <w:b w:val="0"/>
          <w:color w:val="1A1C20"/>
          <w:sz w:val="21"/>
        </w:rPr>
        <w:t xml:space="preserve"> is idempotent and reconciles map ACLs on every run.</w:t>
      </w:r>
    </w:p>
    <w:p>
      <w:pPr>
        <w:pStyle w:val="ListBullet"/>
      </w:pPr>
      <w:r>
        <w:rPr>
          <w:b w:val="0"/>
          <w:color w:val="1A1C20"/>
          <w:sz w:val="21"/>
        </w:rPr>
        <w:t>The only state outside git is the tenant DID, the contract ids and the map</w:t>
      </w:r>
    </w:p>
    <w:p>
      <w:r>
        <w:rPr>
          <w:b w:val="0"/>
          <w:color w:val="1A1C20"/>
          <w:sz w:val="21"/>
        </w:rPr>
        <w:t xml:space="preserve">names, all in </w:t>
      </w:r>
      <w:r>
        <w:rPr>
          <w:rFonts w:ascii="Consolas" w:hAnsi="Consolas"/>
          <w:color w:val="4C535B"/>
          <w:sz w:val="19"/>
        </w:rPr>
        <w:t>agent/state.json</w:t>
      </w:r>
      <w:r>
        <w:rPr>
          <w:b w:val="0"/>
          <w:color w:val="1A1C20"/>
          <w:sz w:val="21"/>
        </w:rPr>
        <w:t xml:space="preserve"> and reproducible with a single deploy.</w:t>
      </w:r>
    </w:p>
    <w:p>
      <w:pPr>
        <w:pStyle w:val="ListBullet"/>
      </w:pPr>
      <w:r>
        <w:rPr>
          <w:b w:val="0"/>
          <w:color w:val="1A1C20"/>
          <w:sz w:val="21"/>
        </w:rPr>
        <w:t>Re-pointing at a different tenant is two environment variables.</w:t>
      </w:r>
    </w:p>
    <w:p>
      <w:pPr>
        <w:pStyle w:val="ListBullet"/>
      </w:pPr>
      <w:r>
        <w:rPr>
          <w:b w:val="0"/>
          <w:color w:val="1A1C20"/>
          <w:sz w:val="21"/>
        </w:rPr>
        <w:t xml:space="preserve">The pure logic is covered by </w:t>
      </w:r>
      <w:r>
        <w:rPr>
          <w:rFonts w:ascii="Consolas" w:hAnsi="Consolas"/>
          <w:color w:val="4C535B"/>
          <w:sz w:val="19"/>
        </w:rPr>
        <w:t>cargo test</w:t>
      </w:r>
      <w:r>
        <w:rPr>
          <w:b w:val="0"/>
          <w:color w:val="1A1C20"/>
          <w:sz w:val="21"/>
        </w:rPr>
        <w:t>, so a maintainer can change a gate</w:t>
      </w:r>
    </w:p>
    <w:p>
      <w:r>
        <w:rPr>
          <w:b w:val="0"/>
          <w:color w:val="1A1C20"/>
          <w:sz w:val="21"/>
        </w:rPr>
        <w:t>and know within seconds whether they broke the percentile maths.</w:t>
      </w:r>
    </w:p>
    <w:p>
      <w:r>
        <w:rPr>
          <w:b w:val="0"/>
          <w:color w:val="1A1C20"/>
          <w:sz w:val="21"/>
        </w:rPr>
        <w:t>Happy to discuss the startup programme and listing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C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ryankwandou/blindband" TargetMode="External"/><Relationship Id="rId10" Type="http://schemas.openxmlformats.org/officeDocument/2006/relationships/hyperlink" Target="https://blindband.vercel.app" TargetMode="External"/><Relationship Id="rId11" Type="http://schemas.openxmlformats.org/officeDocument/2006/relationships/hyperlink" Target="https://bryankwandou.github.io/blindband" TargetMode="External"/><Relationship Id="rId12" Type="http://schemas.openxmlformats.org/officeDocument/2006/relationships/hyperlink" Target="https://blindband.vercel.app/demo/blindband-demo.mp4" TargetMode="External"/><Relationship Id="rId13" Type="http://schemas.openxmlformats.org/officeDocument/2006/relationships/hyperlink" Target="https://explorer.solana.com/tx/5uczxVJUm4zjwDms6R5eDC9H1G3gypRUuDA1p2B1x14bXP8QCezrFxZLgfRzfGCJLG3HDJ7ubfsWpiZBG4AJE3Hf?cluster=devnet"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yperlink" Target="https://blindband.vercel.app/en/docs" TargetMode="External"/><Relationship Id="rId24" Type="http://schemas.openxmlformats.org/officeDocument/2006/relationships/hyperlink" Target="https://github.com/bryankwandou/blindband/blob/main/web/src/lib/bugs.ts" TargetMode="External"/><Relationship Id="rId25" Type="http://schemas.openxmlformats.org/officeDocument/2006/relationships/image" Target="media/image10.png"/><Relationship Id="rId26" Type="http://schemas.openxmlformats.org/officeDocument/2006/relationships/hyperlink" Target="https://blindband.vercel.app/en/ver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