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four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bl>
    <w:p/>
    <w:p>
      <w:r>
        <w:rPr>
          <w:b w:val="0"/>
          <w:color w:val="1A1C20"/>
          <w:sz w:val="21"/>
        </w:rPr>
        <w:t>Blindband is engineering, not legal advice. The gates follow published safe-harbour guidance; fit to a specific consortium is a question for counsel.</w:t>
      </w:r>
    </w:p>
    <w:p>
      <w:pPr>
        <w:pStyle w:val="Heading2"/>
      </w:pPr>
      <w:r>
        <w:t>4.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5.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6. Ease of maintenance</w:t>
      </w:r>
    </w:p>
    <w:p>
      <w:r>
        <w:rPr>
          <w:b w:val="0"/>
          <w:color w:val="1A1C20"/>
          <w:sz w:val="21"/>
        </w:rPr>
        <w:t>This was the judging criterion the design was actually organised around.</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23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7.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8.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9.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23 tests on the percentile maths and the four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10.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The gates are evaluated inside a single round, so two rounds compared can leak what one round withheld.</w:t>
      </w:r>
      <w:r>
        <w:rPr>
          <w:b w:val="0"/>
          <w:color w:val="1A1C20"/>
          <w:sz w:val="21"/>
        </w:rPr>
        <w:t xml:space="preserve"> If a firm joins or leaves between rounds, the change in a cell comes from that firm's rows alone, and a large enough change can be attributed to it — the standard differencing attack on repeated aggregates. A consortium running this quarterly meets it in the second quarter, so it is a real limit on the safe-harbour argument rather than a theoretical one. The fix is a fifth gate comparing a cell against the same cell in the previous round and withholding when the contributor set has moved too far; the contract already stores the round history it needs. It is named here, and on the site's FAQ, rather than left for a reviewer to find — a gate that has not been written is not a gate.</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11.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