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four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bl>
    <w:p/>
    <w:p>
      <w:r>
        <w:rPr>
          <w:b w:val="0"/>
          <w:color w:val="1A1C20"/>
          <w:sz w:val="21"/>
        </w:rPr>
        <w:t>Blindband is engineering, not legal advice. The gates follow published safe-harbour guidance; fit to a specific consortium is a question for counsel.</w:t>
      </w:r>
    </w:p>
    <w:p>
      <w:pPr>
        <w:pStyle w:val="Heading2"/>
      </w:pPr>
      <w:r>
        <w:t>4.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5.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6. Ease of maintenance</w:t>
      </w:r>
    </w:p>
    <w:p>
      <w:r>
        <w:rPr>
          <w:b w:val="0"/>
          <w:color w:val="1A1C20"/>
          <w:sz w:val="21"/>
        </w:rPr>
        <w:t>This was the judging criterion the design was actually organised around.</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23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7.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8.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9.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23 tests on the percentile maths and the four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10.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Gate 5 exists, but it has never run on a live round, because there has only been one.</w:t>
      </w:r>
      <w:r>
        <w:rPr>
          <w:b w:val="0"/>
          <w:color w:val="1A1C20"/>
          <w:sz w:val="21"/>
        </w:rPr>
        <w:t xml:space="preserve"> The first four gates each judge a round in isolation, and a consortium runs quarterly: if one firm joins or leaves a cell, the change in that cell's median was computed from that firm's rows and nothing else, so subtracting two published rounds reads it off. </w:t>
      </w:r>
      <w:r>
        <w:rPr>
          <w:rFonts w:ascii="Consolas" w:hAnsi="Consolas"/>
          <w:color w:val="4C535B"/>
          <w:sz w:val="19"/>
        </w:rPr>
        <w:t>policy::aggregate_with_history</w:t>
      </w:r>
      <w:r>
        <w:rPr>
          <w:b w:val="0"/>
          <w:color w:val="1A1C20"/>
          <w:sz w:val="21"/>
        </w:rPr>
        <w:t xml:space="preserve"> republishes a cell only when its contributor set is unchanged or at least </w:t>
      </w:r>
      <w:r>
        <w:rPr>
          <w:rFonts w:ascii="Consolas" w:hAnsi="Consolas"/>
          <w:color w:val="4C535B"/>
          <w:sz w:val="19"/>
        </w:rPr>
        <w:t>MIN_CONTRIBUTOR_CHURN</w:t>
      </w:r>
      <w:r>
        <w:rPr>
          <w:b w:val="0"/>
          <w:color w:val="1A1C20"/>
          <w:sz w:val="21"/>
        </w:rPr>
        <w:t xml:space="preserve"> organisations moved together, and eleven tests in </w:t>
      </w:r>
      <w:r>
        <w:rPr>
          <w:rFonts w:ascii="Consolas" w:hAnsi="Consolas"/>
          <w:color w:val="4C535B"/>
          <w:sz w:val="19"/>
        </w:rPr>
        <w:t>contract/tests/safe_harbour.rs</w:t>
      </w:r>
      <w:r>
        <w:rPr>
          <w:b w:val="0"/>
          <w:color w:val="1A1C20"/>
          <w:sz w:val="21"/>
        </w:rPr>
        <w:t xml:space="preserve"> hold it to that. The contract calls it: </w:t>
      </w:r>
      <w:r>
        <w:rPr>
          <w:rFonts w:ascii="Consolas" w:hAnsi="Consolas"/>
          <w:color w:val="4C535B"/>
          <w:sz w:val="19"/>
        </w:rPr>
        <w:t>compute-round</w:t>
      </w:r>
      <w:r>
        <w:rPr>
          <w:b w:val="0"/>
          <w:color w:val="1A1C20"/>
          <w:sz w:val="21"/>
        </w:rPr>
        <w:t xml:space="preserve"> takes an optional </w:t>
      </w:r>
      <w:r>
        <w:rPr>
          <w:rFonts w:ascii="Consolas" w:hAnsi="Consolas"/>
          <w:color w:val="4C535B"/>
          <w:sz w:val="19"/>
        </w:rPr>
        <w:t>follows</w:t>
      </w:r>
      <w:r>
        <w:rPr>
          <w:b w:val="0"/>
          <w:color w:val="1A1C20"/>
          <w:sz w:val="21"/>
        </w:rPr>
        <w:t xml:space="preserve">, and when a round names its predecessor the enclave reads that round's sealed submissions to build the contributor sets — never the published round, which carries counts and not names on purpose. </w:t>
      </w:r>
      <w:r>
        <w:rPr>
          <w:rFonts w:ascii="Consolas" w:hAnsi="Consolas"/>
          <w:color w:val="4C535B"/>
          <w:sz w:val="19"/>
        </w:rPr>
        <w:t>cargo run --example replay -- --differencing</w:t>
      </w:r>
      <w:r>
        <w:rPr>
          <w:b w:val="0"/>
          <w:color w:val="1A1C20"/>
          <w:sz w:val="21"/>
        </w:rPr>
        <w:t xml:space="preserve"> runs it on the real 117 submissions: it prints the figure the first four gates would have leaked about one firm, then withholds the cell. It compares a cell against every round that cell was published in, not merely the one before: withhold a cell in Q2, republish it in Q3 with one firm fewer than Q1 had, and no adjacent pair catches it while Q3 − Q1 still names that firm. What it has not done is decide a real quarter, because there has only been one.</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11.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