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r>
        <w:tc>
          <w:tcPr>
            <w:tcW w:type="dxa" w:w="3120"/>
          </w:tcPr>
          <w:p>
            <w:r>
              <w:rPr>
                <w:b w:val="0"/>
                <w:color w:val="1A1C20"/>
                <w:sz w:val="19"/>
              </w:rPr>
              <w:t>Differencing guard</w:t>
            </w:r>
          </w:p>
        </w:tc>
        <w:tc>
          <w:tcPr>
            <w:tcW w:type="dxa" w:w="3120"/>
          </w:tcPr>
          <w:p>
            <w:r>
              <w:rPr>
                <w:b w:val="0"/>
                <w:color w:val="1A1C20"/>
                <w:sz w:val="19"/>
              </w:rPr>
              <w:t>A cell is republished only if its contributor set is unchanged from every round it appeared in, or differs from each by ≥ 2 firms</w:t>
            </w:r>
          </w:p>
        </w:tc>
        <w:tc>
          <w:tcPr>
            <w:tcW w:type="dxa" w:w="3120"/>
          </w:tcPr>
          <w:p>
            <w:r>
              <w:rPr>
                <w:rFonts w:ascii="Consolas" w:hAnsi="Consolas"/>
                <w:color w:val="4C535B"/>
                <w:sz w:val="17"/>
              </w:rPr>
              <w:t>MIN_CONTRIBUTOR_CHURN</w:t>
            </w:r>
          </w:p>
        </w:tc>
      </w:tr>
    </w:tbl>
    <w:p/>
    <w:p>
      <w:r>
        <w:rPr>
          <w:b w:val="0"/>
          <w:color w:val="1A1C20"/>
          <w:sz w:val="21"/>
        </w:rPr>
        <w:t xml:space="preserve">The first four judge a round on its own. The fifth judges it against every round before it, and the published round did not face it: 2026-q1 was the first, so it carries </w:t>
      </w:r>
      <w:r>
        <w:rPr>
          <w:rFonts w:ascii="Consolas" w:hAnsi="Consolas"/>
          <w:color w:val="4C535B"/>
          <w:sz w:val="19"/>
        </w:rPr>
        <w:t>blindband-safe-harbour/v1</w:t>
      </w:r>
      <w:r>
        <w:rPr>
          <w:b w:val="0"/>
          <w:color w:val="1A1C20"/>
          <w:sz w:val="21"/>
        </w:rPr>
        <w:t xml:space="preserve"> and cleared four. Every round after it carries v2 and faces five.</w:t>
      </w:r>
    </w:p>
    <w:p>
      <w:r>
        <w:rPr>
          <w:b w:val="0"/>
          <w:color w:val="1A1C20"/>
          <w:sz w:val="21"/>
        </w:rPr>
        <w:t>Blindband is engineering, not legal advice. The gates follow published safe-harbour guidance; fit to a specific consortium is a question for counsel.</w:t>
      </w:r>
    </w:p>
    <w:p>
      <w:pPr>
        <w:pStyle w:val="Heading2"/>
      </w:pPr>
      <w:r>
        <w:t>4. What you have to trust, and what you do not</w:t>
      </w:r>
    </w:p>
    <w:p>
      <w:r>
        <w:rPr>
          <w:b w:val="0"/>
          <w:color w:val="1A1C20"/>
          <w:sz w:val="21"/>
        </w:rPr>
        <w:t>The gates are the interesting part of this system, and they are not the whole of what a reader should weigh. This section is the part a sceptic would ask for and most write-ups leave out.</w:t>
      </w:r>
    </w:p>
    <w:p>
      <w:r>
        <w:rPr>
          <w:b/>
          <w:color w:val="1A1C20"/>
          <w:sz w:val="21"/>
        </w:rPr>
        <w:t>What the design does not ask you to trust.</w:t>
      </w:r>
      <w:r>
        <w:rPr>
          <w:b w:val="0"/>
          <w:color w:val="1A1C20"/>
          <w:sz w:val="21"/>
        </w:rPr>
        <w:t xml:space="preserve"> That the published numbers follow from the submissions: recompute them, from a second implementation, in one command. That the round was not swapped for a friendlier one afterwards: the digest is on devnet, written before you asked and not by anything of ours. That your own row was counted: the receipt proves inclusion without revealing the value.</w:t>
      </w:r>
    </w:p>
    <w:p>
      <w:r>
        <w:rPr>
          <w:b/>
          <w:color w:val="1A1C20"/>
          <w:sz w:val="21"/>
        </w:rPr>
        <w:t>What it does ask you to trust, plainly.</w:t>
      </w:r>
      <w:r>
        <w:rPr>
          <w:b w:val="0"/>
          <w:color w:val="1A1C20"/>
          <w:sz w:val="21"/>
        </w:rPr>
        <w:t xml:space="preserve"> The enclave. If the TEE is broken — a side channel, a runtime bug, a compromised node — the sealed submissions are readable and nothing in this design would notice. Anchoring protects the output from substitution; it does nothing whatsoever for the inputs. This is not zero-knowledge and it is not multi-party computation. It is a hardware assumption plus an operator who has no code path to the rows, and the honest name for it is: trust the enclave, and trust that the tenant registered the contract you can read.</w:t>
      </w:r>
    </w:p>
    <w:p>
      <w:r>
        <w:rPr>
          <w:b w:val="0"/>
          <w:color w:val="1A1C20"/>
          <w:sz w:val="21"/>
        </w:rPr>
        <w:t>Today that assumption cannot even be checked. BB-02 means the sandbox trust manifest does not parse, so the SDK cannot attest the node it is talking to and every run prints the warning rather than hiding it. The one property a confidential-computing platform sells is, on its own sandbox, the one property currently unverifiable. That is the largest single gap in this submission and it is not closable from the client side.</w:t>
      </w:r>
    </w:p>
    <w:p>
      <w:r>
        <w:rPr>
          <w:b/>
          <w:color w:val="1A1C20"/>
          <w:sz w:val="21"/>
        </w:rPr>
        <w:t>What an outsider can check, and what they cannot.</w:t>
      </w:r>
      <w:r>
        <w:rPr>
          <w:b w:val="0"/>
          <w:color w:val="1A1C20"/>
          <w:sz w:val="21"/>
        </w:rPr>
        <w:t xml:space="preserve"> Anyone can recompute this round because its submissions are published — they are synthetic, generated for the demonstration, and no real payroll has ever gone near this. A real consortium would never publish them, and then an outsider can check only that the published bytes hash to the anchored digest, while each *member* can check their own row was counted. There is no construction here by which a stranger verifies an aggregate over data they are not allowed to see. That is inherent rather than an omission: it is the reason the enclave is in the design at all.</w:t>
      </w:r>
    </w:p>
    <w:p>
      <w:r>
        <w:rPr>
          <w:b/>
          <w:color w:val="1A1C20"/>
          <w:sz w:val="21"/>
        </w:rPr>
        <w:t>The gates are not differential privacy.</w:t>
      </w:r>
      <w:r>
        <w:rPr>
          <w:b w:val="0"/>
          <w:color w:val="1A1C20"/>
          <w:sz w:val="21"/>
        </w:rPr>
        <w:t xml:space="preserve"> They are deterministic thresholds. They stop the reconstructions that thresholds can stop — a cell dominated by one firm, a cell too thin to describe a market, a change between rounds that one firm's arrival or departure explains. They offer no privacy budget and no formal bound, and an adversary with outside knowledge (which firms are in the consortium, which one was acquired last quarter) reasons about things no threshold can see. Calibrated noise would give a formal guarantee and would also mean the published median is no longer the median, which is the number a benchmark is bought for. That trade was made deliberately in one direction; it is a choice, not a proof, and a consortium with a stricter requirement should know it is choosing again.</w:t>
      </w:r>
    </w:p>
    <w:p>
      <w:r>
        <w:rPr>
          <w:b/>
          <w:color w:val="1A1C20"/>
          <w:sz w:val="21"/>
        </w:rPr>
        <w:t>Withholding is itself information.</w:t>
      </w:r>
      <w:r>
        <w:rPr>
          <w:b w:val="0"/>
          <w:color w:val="1A1C20"/>
          <w:sz w:val="21"/>
        </w:rPr>
        <w:t xml:space="preserve"> A cell that disappears says a single organisation moved. That is far less than the numbers it protects, and the alternative — a cell that vanishes with no reason given — was rejected everywhere else in this ruleset, so it is rejected here too.</w:t>
      </w:r>
    </w:p>
    <w:p>
      <w:pPr>
        <w:pStyle w:val="Heading2"/>
      </w:pPr>
      <w:r>
        <w:t>5.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6.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7. Ease of maintenance</w:t>
      </w:r>
    </w:p>
    <w:p>
      <w:r>
        <w:rPr>
          <w:b w:val="0"/>
          <w:color w:val="1A1C20"/>
          <w:sz w:val="21"/>
        </w:rPr>
        <w:t>This was the judging criterion the design was actually organised around.</w:t>
      </w:r>
    </w:p>
    <w:p>
      <w:pPr>
        <w:pStyle w:val="ListBullet"/>
      </w:pPr>
      <w:r>
        <w:rPr>
          <w:b/>
          <w:color w:val="1A1C20"/>
          <w:sz w:val="21"/>
        </w:rPr>
        <w:t>A quarter is one command.</w:t>
      </w:r>
      <w:r>
        <w:rPr>
          <w:b w:val="0"/>
          <w:color w:val="1A1C20"/>
          <w:sz w:val="21"/>
        </w:rPr>
        <w:t xml:space="preserve"> `npm run quarter -- --round 2026-q2 --data</w:t>
      </w:r>
    </w:p>
    <w:p>
      <w:r>
        <w:rPr>
          <w:b w:val="0"/>
          <w:color w:val="1A1C20"/>
          <w:sz w:val="21"/>
        </w:rPr>
        <w:t>q2.json --follows 2026-q1</w:t>
      </w:r>
      <w:r>
        <w:rPr>
          <w:rFonts w:ascii="Consolas" w:hAnsi="Consolas"/>
          <w:color w:val="4C535B"/>
          <w:sz w:val="19"/>
        </w:rPr>
        <w:t xml:space="preserve"> runs preflight, submit, round, anchor and verify in order. It spawns the same scripts a person would run by hand rather than reimplementing them, so there is no second copy of the sequence to drift out of step with the documented one. It stops at the first failure, because every later step reads what an earlier one wrote — anchor before round and you anchor last quarter's digest under this quarter's label. </w:t>
      </w:r>
      <w:r>
        <w:rPr>
          <w:b w:val="0"/>
          <w:color w:val="1A1C20"/>
          <w:sz w:val="21"/>
        </w:rPr>
        <w:t>--dry-run` checks the key and the credits, prints the plan, and spends nothing. A consortium runs this four times a year, which is often enough to forget the order and not often enough to build the habit.</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30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8.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9.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10.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30 tests on the percentile maths and the five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11.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pPr>
        <w:pStyle w:val="ListNumber"/>
      </w:pPr>
      <w:r>
        <w:rPr>
          <w:b/>
          <w:color w:val="1A1C20"/>
          <w:sz w:val="21"/>
        </w:rPr>
        <w:t>Gate 5 exists, but it has never run on a live round, because there has only been one.</w:t>
      </w:r>
      <w:r>
        <w:rPr>
          <w:b w:val="0"/>
          <w:color w:val="1A1C20"/>
          <w:sz w:val="21"/>
        </w:rPr>
        <w:t xml:space="preserve"> The first four gates each judge a round in isolation, and a consortium runs quarterly: if one firm joins or leaves a cell, the change in that cell's median was computed from that firm's rows and nothing else, so subtracting two published rounds reads it off. </w:t>
      </w:r>
      <w:r>
        <w:rPr>
          <w:rFonts w:ascii="Consolas" w:hAnsi="Consolas"/>
          <w:color w:val="4C535B"/>
          <w:sz w:val="19"/>
        </w:rPr>
        <w:t>policy::aggregate_with_history</w:t>
      </w:r>
      <w:r>
        <w:rPr>
          <w:b w:val="0"/>
          <w:color w:val="1A1C20"/>
          <w:sz w:val="21"/>
        </w:rPr>
        <w:t xml:space="preserve"> republishes a cell only when its contributor set is unchanged or at least </w:t>
      </w:r>
      <w:r>
        <w:rPr>
          <w:rFonts w:ascii="Consolas" w:hAnsi="Consolas"/>
          <w:color w:val="4C535B"/>
          <w:sz w:val="19"/>
        </w:rPr>
        <w:t>MIN_CONTRIBUTOR_CHURN</w:t>
      </w:r>
      <w:r>
        <w:rPr>
          <w:b w:val="0"/>
          <w:color w:val="1A1C20"/>
          <w:sz w:val="21"/>
        </w:rPr>
        <w:t xml:space="preserve"> organisations moved together, and eleven tests in </w:t>
      </w:r>
      <w:r>
        <w:rPr>
          <w:rFonts w:ascii="Consolas" w:hAnsi="Consolas"/>
          <w:color w:val="4C535B"/>
          <w:sz w:val="19"/>
        </w:rPr>
        <w:t>contract/tests/safe_harbour.rs</w:t>
      </w:r>
      <w:r>
        <w:rPr>
          <w:b w:val="0"/>
          <w:color w:val="1A1C20"/>
          <w:sz w:val="21"/>
        </w:rPr>
        <w:t xml:space="preserve"> hold it to that. The contract calls it: </w:t>
      </w:r>
      <w:r>
        <w:rPr>
          <w:rFonts w:ascii="Consolas" w:hAnsi="Consolas"/>
          <w:color w:val="4C535B"/>
          <w:sz w:val="19"/>
        </w:rPr>
        <w:t>compute-round</w:t>
      </w:r>
      <w:r>
        <w:rPr>
          <w:b w:val="0"/>
          <w:color w:val="1A1C20"/>
          <w:sz w:val="21"/>
        </w:rPr>
        <w:t xml:space="preserve"> takes an optional </w:t>
      </w:r>
      <w:r>
        <w:rPr>
          <w:rFonts w:ascii="Consolas" w:hAnsi="Consolas"/>
          <w:color w:val="4C535B"/>
          <w:sz w:val="19"/>
        </w:rPr>
        <w:t>follows</w:t>
      </w:r>
      <w:r>
        <w:rPr>
          <w:b w:val="0"/>
          <w:color w:val="1A1C20"/>
          <w:sz w:val="21"/>
        </w:rPr>
        <w:t xml:space="preserve">, and when a round names its predecessor the enclave reads that round's sealed submissions to build the contributor sets — never the published round, which carries counts and not names on purpose. </w:t>
      </w:r>
      <w:r>
        <w:rPr>
          <w:rFonts w:ascii="Consolas" w:hAnsi="Consolas"/>
          <w:color w:val="4C535B"/>
          <w:sz w:val="19"/>
        </w:rPr>
        <w:t>cargo run --example replay -- --differencing</w:t>
      </w:r>
      <w:r>
        <w:rPr>
          <w:b w:val="0"/>
          <w:color w:val="1A1C20"/>
          <w:sz w:val="21"/>
        </w:rPr>
        <w:t xml:space="preserve"> runs it on the real 117 submissions: it prints the figure the first four gates would have leaked about one firm, then withholds the cell. It compares a cell against every round that cell was published in, not merely the one before: withhold a cell in Q2, republish it in Q3 with one firm fewer than Q1 had, and no adjacent pair catches it while Q3 − Q1 still names that firm. What it has not done is decide a real quarter, because there has only been one. The tenant holds 10,352,414,086 base units and each execution locks 10,000,000,000, so about one is affordable. *Publishing* a round costs two — one </w:t>
      </w:r>
      <w:r>
        <w:rPr>
          <w:rFonts w:ascii="Consolas" w:hAnsi="Consolas"/>
          <w:color w:val="4C535B"/>
          <w:sz w:val="19"/>
        </w:rPr>
        <w:t>submit-batch</w:t>
      </w:r>
      <w:r>
        <w:rPr>
          <w:b w:val="0"/>
          <w:color w:val="1A1C20"/>
          <w:sz w:val="21"/>
        </w:rPr>
        <w:t xml:space="preserve">, one </w:t>
      </w:r>
      <w:r>
        <w:rPr>
          <w:rFonts w:ascii="Consolas" w:hAnsi="Consolas"/>
          <w:color w:val="4C535B"/>
          <w:sz w:val="19"/>
        </w:rPr>
        <w:t>compute-round</w:t>
      </w:r>
      <w:r>
        <w:rPr>
          <w:b w:val="0"/>
          <w:color w:val="1A1C20"/>
          <w:sz w:val="21"/>
        </w:rPr>
        <w:t xml:space="preserve"> — and anchoring costs none of them, being devnet SOL rather than T3N credits. </w:t>
      </w:r>
      <w:r>
        <w:rPr>
          <w:rFonts w:ascii="Consolas" w:hAnsi="Consolas"/>
          <w:color w:val="4C535B"/>
          <w:sz w:val="19"/>
        </w:rPr>
        <w:t>verify</w:t>
      </w:r>
      <w:r>
        <w:rPr>
          <w:b w:val="0"/>
          <w:color w:val="1A1C20"/>
          <w:sz w:val="21"/>
        </w:rPr>
        <w:t xml:space="preserve"> costs three more for its receipt probes, and those prove things about a round that already exists, so they can wait: </w:t>
      </w:r>
      <w:r>
        <w:rPr>
          <w:rFonts w:ascii="Consolas" w:hAnsi="Consolas"/>
          <w:color w:val="4C535B"/>
          <w:sz w:val="19"/>
        </w:rPr>
        <w:t>npm run quarter --publish-only</w:t>
      </w:r>
      <w:r>
        <w:rPr>
          <w:b w:val="0"/>
          <w:color w:val="1A1C20"/>
          <w:sz w:val="21"/>
        </w:rPr>
        <w:t xml:space="preserve"> prices the shorter path. The gap between this tenant and a second live round is therefore one execution of credit, not a design problem and not a rewrite. </w:t>
      </w:r>
      <w:r>
        <w:rPr>
          <w:rFonts w:ascii="Consolas" w:hAnsi="Consolas"/>
          <w:color w:val="4C535B"/>
          <w:sz w:val="19"/>
        </w:rPr>
        <w:t>npm run quarter</w:t>
      </w:r>
      <w:r>
        <w:rPr>
          <w:b w:val="0"/>
          <w:color w:val="1A1C20"/>
          <w:sz w:val="21"/>
        </w:rPr>
        <w:t xml:space="preserve"> now checks that before it starts anything, because running out after </w:t>
      </w:r>
      <w:r>
        <w:rPr>
          <w:rFonts w:ascii="Consolas" w:hAnsi="Consolas"/>
          <w:color w:val="4C535B"/>
          <w:sz w:val="19"/>
        </w:rPr>
        <w:t>submit</w:t>
      </w:r>
      <w:r>
        <w:rPr>
          <w:b w:val="0"/>
          <w:color w:val="1A1C20"/>
          <w:sz w:val="21"/>
        </w:rPr>
        <w:t xml:space="preserve"> would seal rows into the ledger belonging to a round that was never published, and the ledger does not roll back.</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12. Who runs it, and the questions code cannot answer</w:t>
      </w:r>
    </w:p>
    <w:p>
      <w:r>
        <w:rPr>
          <w:b w:val="0"/>
          <w:color w:val="1A1C20"/>
          <w:sz w:val="21"/>
        </w:rPr>
        <w:t>A cryptographic mechanism is not yet a system a consortium can operate. Four questions decide whether this becomes one, and none of them is answered by any line in this repository.</w:t>
      </w:r>
    </w:p>
    <w:p>
      <w:r>
        <w:rPr>
          <w:b/>
          <w:color w:val="1A1C20"/>
          <w:sz w:val="21"/>
        </w:rPr>
        <w:t>Who is the neutral aggregator?</w:t>
      </w:r>
      <w:r>
        <w:rPr>
          <w:b w:val="0"/>
          <w:color w:val="1A1C20"/>
          <w:sz w:val="21"/>
        </w:rPr>
        <w:t xml:space="preserve"> Today it is a sandbox tenant belonging to the author, which is the one arrangement a real consortium must not accept: the first gate says no member sees another's rows, and it means nothing if the operator is a member. The candidates are an industry body, the consortium's shared counsel, or the platform itself. The code is indifferent — re-pointing at a different tenant is two environment variables — and the choice is governance, not engineering.</w:t>
      </w:r>
    </w:p>
    <w:p>
      <w:r>
        <w:rPr>
          <w:b/>
          <w:color w:val="1A1C20"/>
          <w:sz w:val="21"/>
        </w:rPr>
        <w:t>Who may change the ruleset?</w:t>
      </w:r>
      <w:r>
        <w:rPr>
          <w:b w:val="0"/>
          <w:color w:val="1A1C20"/>
          <w:sz w:val="21"/>
        </w:rPr>
        <w:t xml:space="preserve"> A change is at least *visible*: the ruleset id is inside every round and therefore inside the digest that is anchored, so a round produced under different rules can never be mistaken for one produced under these. What the code does not say is who is allowed to make that change. In practice it should be whoever signed off on the gates in the first place, and that is a contract between members rather than a permission bit.</w:t>
      </w:r>
    </w:p>
    <w:p>
      <w:r>
        <w:rPr>
          <w:b/>
          <w:color w:val="1A1C20"/>
          <w:sz w:val="21"/>
        </w:rPr>
        <w:t>What stops a member submitting false data?</w:t>
      </w:r>
      <w:r>
        <w:rPr>
          <w:b w:val="0"/>
          <w:color w:val="1A1C20"/>
          <w:sz w:val="21"/>
        </w:rPr>
        <w:t xml:space="preserve"> Nothing here does. The gates protect members from each other's curiosity, not from each other's lying. A firm that inflates its rows moves the band it is measured against, and this design cannot detect that, because detecting it would require reading rows — which is precisely what it is built not to do. A real deployment needs an attested payroll export or a periodic audit of a member's submission against their filings. That is a whole second product, and pretending otherwise would be the easiest place in this document to be dishonest.</w:t>
      </w:r>
    </w:p>
    <w:p>
      <w:r>
        <w:rPr>
          <w:b/>
          <w:color w:val="1A1C20"/>
          <w:sz w:val="21"/>
        </w:rPr>
        <w:t>What does joining or leaving cost?</w:t>
      </w:r>
      <w:r>
        <w:rPr>
          <w:b w:val="0"/>
          <w:color w:val="1A1C20"/>
          <w:sz w:val="21"/>
        </w:rPr>
        <w:t xml:space="preserve"> Joining is a tenant-side ACL change. Leaving is more expensive than it looks, and gate 5 is why: a firm that departs withholds every cell whose contributor set it alone moved, for that round. That is the gate working as intended, and it is also an operational cost a consortium should be told about before its first quarter rather than after — one member leaving can cost everyone else a band.</w:t>
      </w:r>
    </w:p>
    <w:p>
      <w:pPr>
        <w:pStyle w:val="Heading2"/>
      </w:pPr>
      <w:r>
        <w:t>13.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