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val="false"/>
          <w:iCs w:val="false"/>
          <w:caps w:val="false"/>
          <w:color w:val="1F3864"/>
          <w:sz w:val="32"/>
          <w:szCs w:val="32"/>
        </w:rPr>
        <w:t xml:space="preserve">LAPORAN PROPOSAL</w:t>
      </w:r>
    </w:p>
    <w:p>
      <w:pPr>
        <w:spacing w:after="240" w:before="0" w:line="360"/>
        <w:ind/>
        <w:jc w:val="center"/>
      </w:pPr>
      <w:r>
        <w:rPr>
          <w:rFonts w:ascii="Times New Roman" w:cs="Times New Roman" w:eastAsia="Times New Roman" w:hAnsi="Times New Roman"/>
          <w:b/>
          <w:bCs/>
          <w:i w:val="false"/>
          <w:iCs w:val="false"/>
          <w:caps w:val="false"/>
          <w:color w:val="1F3864"/>
          <w:sz w:val="28"/>
          <w:szCs w:val="28"/>
        </w:rPr>
        <w:t xml:space="preserve">MANAJEMEN PROYEK TEKNOLOGI INFORMASI</w:t>
      </w:r>
    </w:p>
    <w:p>
      <w:pPr>
        <w:pBdr>
          <w:bottom w:val="single" w:color="F4B942" w:sz="6" w:space="6"/>
        </w:pBdr>
        <w:spacing w:after="240" w:before="0"/>
        <w:jc w:val="center"/>
      </w:pPr>
    </w:p>
    <w:p>
      <w:pPr>
        <w:spacing w:after="80" w:before="120" w:line="360"/>
        <w:ind/>
        <w:jc w:val="center"/>
      </w:pPr>
      <w:r>
        <w:rPr>
          <w:rFonts w:ascii="Times New Roman" w:cs="Times New Roman" w:eastAsia="Times New Roman" w:hAnsi="Times New Roman"/>
          <w:b/>
          <w:bCs/>
          <w:i w:val="false"/>
          <w:iCs w:val="false"/>
          <w:caps w:val="false"/>
          <w:color w:val="2E75B6"/>
          <w:sz w:val="36"/>
          <w:szCs w:val="36"/>
        </w:rPr>
        <w:t xml:space="preserve">SISTRAS-KAN</w:t>
      </w:r>
    </w:p>
    <w:p>
      <w:pPr>
        <w:spacing w:after="40" w:before="0" w:line="360"/>
        <w:ind/>
        <w:jc w:val="center"/>
      </w:pPr>
      <w:r>
        <w:rPr>
          <w:rFonts w:ascii="Times New Roman" w:cs="Times New Roman" w:eastAsia="Times New Roman" w:hAnsi="Times New Roman"/>
          <w:b w:val="false"/>
          <w:bCs w:val="false"/>
          <w:i/>
          <w:iCs/>
          <w:caps w:val="false"/>
          <w:color w:val="000000"/>
          <w:sz w:val="26"/>
          <w:szCs w:val="26"/>
        </w:rPr>
        <w:t xml:space="preserve">Sistem Terpadu Rantai Pasok Kelautan dan Perikanan Cerdas</w:t>
      </w:r>
    </w:p>
    <w:p>
      <w:pPr>
        <w:spacing w:after="40" w:before="0" w:line="360"/>
        <w:ind/>
        <w:jc w:val="center"/>
      </w:pPr>
      <w:r>
        <w:rPr>
          <w:rFonts w:ascii="Times New Roman" w:cs="Times New Roman" w:eastAsia="Times New Roman" w:hAnsi="Times New Roman"/>
          <w:b w:val="false"/>
          <w:bCs w:val="false"/>
          <w:i/>
          <w:iCs/>
          <w:caps w:val="false"/>
          <w:color w:val="000000"/>
          <w:sz w:val="26"/>
          <w:szCs w:val="26"/>
        </w:rPr>
        <w:t xml:space="preserve">Berbasis Kecerdasan Buatan, Blockchain, dan Internet of Things</w:t>
      </w:r>
    </w:p>
    <w:p>
      <w:pPr>
        <w:spacing w:after="40" w:before="0" w:line="360"/>
        <w:ind/>
        <w:jc w:val="center"/>
      </w:pPr>
      <w:r>
        <w:rPr>
          <w:rFonts w:ascii="Times New Roman" w:cs="Times New Roman" w:eastAsia="Times New Roman" w:hAnsi="Times New Roman"/>
          <w:b w:val="false"/>
          <w:bCs w:val="false"/>
          <w:i/>
          <w:iCs/>
          <w:caps w:val="false"/>
          <w:color w:val="000000"/>
          <w:sz w:val="26"/>
          <w:szCs w:val="26"/>
        </w:rPr>
        <w:t xml:space="preserve">untuk Peningkatan Kesejahteraan Nelayan</w:t>
      </w:r>
    </w:p>
    <w:p>
      <w:pPr>
        <w:spacing w:after="360" w:before="0" w:line="360"/>
        <w:ind/>
        <w:jc w:val="center"/>
      </w:pPr>
      <w:r>
        <w:rPr>
          <w:rFonts w:ascii="Times New Roman" w:cs="Times New Roman" w:eastAsia="Times New Roman" w:hAnsi="Times New Roman"/>
          <w:b w:val="false"/>
          <w:bCs w:val="false"/>
          <w:i/>
          <w:iCs/>
          <w:caps w:val="false"/>
          <w:color w:val="000000"/>
          <w:sz w:val="26"/>
          <w:szCs w:val="26"/>
        </w:rPr>
        <w:t xml:space="preserve">di Provinsi Sulawesi Selatan</w:t>
      </w:r>
    </w:p>
    <w:p>
      <w:pPr>
        <w:spacing w:after="120" w:before="0" w:line="360"/>
        <w:ind/>
        <w:jc w:val="center"/>
      </w:pPr>
      <w:r>
        <w:rPr>
          <w:rFonts w:ascii="Times New Roman" w:cs="Times New Roman" w:eastAsia="Times New Roman" w:hAnsi="Times New Roman"/>
          <w:b/>
          <w:bCs/>
          <w:i w:val="false"/>
          <w:iCs w:val="false"/>
          <w:caps w:val="false"/>
          <w:color w:val="000000"/>
          <w:sz w:val="24"/>
          <w:szCs w:val="24"/>
        </w:rPr>
        <w:t xml:space="preserve">Disusun Oleh:</w:t>
      </w:r>
    </w:p>
    <w:p>
      <w:pPr>
        <w:spacing w:after="160" w:before="0" w:line="360"/>
        <w:ind/>
        <w:jc w:val="center"/>
      </w:pPr>
      <w:r>
        <w:rPr>
          <w:rFonts w:ascii="Times New Roman" w:cs="Times New Roman" w:eastAsia="Times New Roman" w:hAnsi="Times New Roman"/>
          <w:b/>
          <w:bCs/>
          <w:i w:val="false"/>
          <w:iCs w:val="false"/>
          <w:caps w:val="false"/>
          <w:color w:val="2E75B6"/>
          <w:sz w:val="26"/>
          <w:szCs w:val="26"/>
        </w:rPr>
        <w:t xml:space="preserve">KELOMPOK B</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600"/>
      </w:tblGrid>
      <w:tr>
        <w:tc>
          <w:tcPr>
            <w:tcW w:type="dxa" w:w="400"/>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w:t>
            </w:r>
          </w:p>
        </w:tc>
        <w:tc>
          <w:tcPr>
            <w:tcW w:type="dxa" w:w="3000"/>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Venilia Dina Minarti</w:t>
            </w:r>
          </w:p>
        </w:tc>
        <w:tc>
          <w:tcPr>
            <w:tcW w:type="dxa" w:w="1600"/>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2023310001</w:t>
            </w:r>
          </w:p>
        </w:tc>
      </w:tr>
      <w:tr>
        <w:tc>
          <w:tcPr>
            <w:tcW w:type="dxa" w:w="400"/>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3000"/>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Fernando Revan Pratama Satrianto</w:t>
            </w:r>
          </w:p>
        </w:tc>
        <w:tc>
          <w:tcPr>
            <w:tcW w:type="dxa" w:w="1600"/>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2023310002</w:t>
            </w:r>
          </w:p>
        </w:tc>
      </w:tr>
      <w:tr>
        <w:tc>
          <w:tcPr>
            <w:tcW w:type="dxa" w:w="400"/>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3000"/>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Michael Gabriello Sente</w:t>
            </w:r>
          </w:p>
        </w:tc>
        <w:tc>
          <w:tcPr>
            <w:tcW w:type="dxa" w:w="1600"/>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2023310003</w:t>
            </w:r>
          </w:p>
        </w:tc>
      </w:tr>
      <w:tr>
        <w:tc>
          <w:tcPr>
            <w:tcW w:type="dxa" w:w="400"/>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3000"/>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Jonathan</w:t>
            </w:r>
          </w:p>
        </w:tc>
        <w:tc>
          <w:tcPr>
            <w:tcW w:type="dxa" w:w="1600"/>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2023310004</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pBdr>
          <w:top w:val="single" w:color="F4B942" w:sz="4" w:space="6"/>
        </w:pBdr>
        <w:spacing w:after="120" w:before="240"/>
        <w:jc w:val="center"/>
      </w:pPr>
    </w:p>
    <w:p>
      <w:pPr>
        <w:spacing w:after="40" w:before="0" w:line="360"/>
        <w:ind/>
        <w:jc w:val="center"/>
      </w:pPr>
      <w:r>
        <w:rPr>
          <w:rFonts w:ascii="Times New Roman" w:cs="Times New Roman" w:eastAsia="Times New Roman" w:hAnsi="Times New Roman"/>
          <w:b/>
          <w:bCs/>
          <w:i w:val="false"/>
          <w:iCs w:val="false"/>
          <w:caps w:val="false"/>
          <w:color w:val="000000"/>
          <w:sz w:val="24"/>
          <w:szCs w:val="24"/>
        </w:rPr>
        <w:t xml:space="preserve">Program Studi Teknik Informatika</w:t>
      </w:r>
    </w:p>
    <w:p>
      <w:pPr>
        <w:spacing w:after="40" w:before="0" w:line="360"/>
        <w:ind/>
        <w:jc w:val="center"/>
      </w:pPr>
      <w:r>
        <w:rPr>
          <w:rFonts w:ascii="Times New Roman" w:cs="Times New Roman" w:eastAsia="Times New Roman" w:hAnsi="Times New Roman"/>
          <w:b/>
          <w:bCs/>
          <w:i w:val="false"/>
          <w:iCs w:val="false"/>
          <w:caps w:val="false"/>
          <w:color w:val="000000"/>
          <w:sz w:val="24"/>
          <w:szCs w:val="24"/>
        </w:rPr>
        <w:t xml:space="preserve">Universitas Atma Jaya Makassar</w:t>
      </w:r>
    </w:p>
    <w:p>
      <w:pPr>
        <w:spacing w:after="60" w:before="0" w:line="360"/>
        <w:ind/>
        <w:jc w:val="center"/>
      </w:pPr>
      <w:r>
        <w:rPr>
          <w:rFonts w:ascii="Times New Roman" w:cs="Times New Roman" w:eastAsia="Times New Roman" w:hAnsi="Times New Roman"/>
          <w:b w:val="false"/>
          <w:bCs w:val="false"/>
          <w:i w:val="false"/>
          <w:iCs w:val="false"/>
          <w:caps w:val="false"/>
          <w:color w:val="000000"/>
          <w:sz w:val="24"/>
          <w:szCs w:val="24"/>
        </w:rPr>
        <w:t xml:space="preserve">Makassar, Juni 2026</w:t>
      </w:r>
    </w:p>
    <w:p>
      <w:pPr>
        <w:sectPr>
          <w:pgSz w:w="11906" w:h="16838" w:orient="portrait"/>
          <w:pgMar w:top="1701" w:right="1701" w:bottom="1701" w:left="2268" w:header="708" w:footer="708" w:gutter="0"/>
          <w:pgNumType w:start="0" w:fmt="decimal"/>
          <w:docGrid w:linePitch="360"/>
        </w:sectPr>
      </w:pPr>
    </w:p>
    <w:p>
      <w:pPr>
        <w:spacing w:after="240" w:before="0" w:line="360"/>
        <w:ind/>
        <w:jc w:val="center"/>
      </w:pPr>
      <w:r>
        <w:rPr>
          <w:rFonts w:ascii="Times New Roman" w:cs="Times New Roman" w:eastAsia="Times New Roman" w:hAnsi="Times New Roman"/>
          <w:b/>
          <w:bCs/>
          <w:i w:val="false"/>
          <w:iCs w:val="false"/>
          <w:caps/>
          <w:color w:val="1F3864"/>
          <w:sz w:val="28"/>
          <w:szCs w:val="28"/>
        </w:rPr>
        <w:t xml:space="preserve">LEMBAR PENGESAHAN</w:t>
      </w:r>
    </w:p>
    <w:p>
      <w:pPr>
        <w:pBdr>
          <w:bottom w:val="single" w:color="F4B942" w:sz="6"/>
        </w:pBdr>
        <w:spacing w:after="240" w:before="0"/>
        <w:jc w:val="center"/>
      </w:pP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36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Laporan Proposal Manajemen Proyek Teknologi Informasi dengan judul </w:t>
      </w:r>
      <w:r>
        <w:rPr>
          <w:rFonts w:ascii="Times New Roman" w:cs="Times New Roman" w:eastAsia="Times New Roman" w:hAnsi="Times New Roman"/>
          <w:b/>
          <w:bCs/>
          <w:i w:val="false"/>
          <w:iCs w:val="false"/>
          <w:caps w:val="false"/>
          <w:color w:val="000000"/>
          <w:sz w:val="24"/>
          <w:szCs w:val="24"/>
        </w:rPr>
        <w:t xml:space="preserve">"SISTRAS-KAN: Sistem Terpadu Rantai Pasok Kelautan dan Perikanan Cerdas Berbasis Kecerdasan Buatan, Blockchain, dan Internet of Things untuk Peningkatan Kesejahteraan Nelayan di Provinsi Sulawesi Selatan"</w:t>
      </w:r>
      <w:r>
        <w:rPr>
          <w:rFonts w:ascii="Times New Roman" w:cs="Times New Roman" w:eastAsia="Times New Roman" w:hAnsi="Times New Roman"/>
          <w:b w:val="false"/>
          <w:bCs w:val="false"/>
          <w:i w:val="false"/>
          <w:iCs w:val="false"/>
          <w:caps w:val="false"/>
          <w:color w:val="000000"/>
          <w:sz w:val="24"/>
          <w:szCs w:val="24"/>
        </w:rPr>
        <w:t xml:space="preserve"> yang disusun oleh Kelompok B telah diperiksa dan disetujui sebagai pemenuhan tugas akhir mata kuliah Manajemen Proyek Teknologi Informasi.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c>
          <w:tcPr>
            <w:tcW w:type="dxa" w:w="3968"/>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Makassar, Juni 2026</w:t>
            </w:r>
          </w:p>
        </w:tc>
        <w:tc>
          <w:tcPr>
            <w:tcW w:type="dxa" w:w="3968"/>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Makassar, Juni 2026</w:t>
            </w:r>
          </w:p>
        </w:tc>
      </w:tr>
      <w:tr>
        <w:tc>
          <w:tcPr>
            <w:tcW w:type="dxa" w:w="3968"/>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
            </w:r>
          </w:p>
        </w:tc>
        <w:tc>
          <w:tcPr>
            <w:tcW w:type="dxa" w:w="3968"/>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
            </w:r>
          </w:p>
        </w:tc>
      </w:tr>
      <w:tr>
        <w:tc>
          <w:tcPr>
            <w:tcW w:type="dxa" w:w="3968"/>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
            </w:r>
          </w:p>
        </w:tc>
        <w:tc>
          <w:tcPr>
            <w:tcW w:type="dxa" w:w="3968"/>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
            </w:r>
          </w:p>
        </w:tc>
      </w:tr>
      <w:tr>
        <w:tc>
          <w:tcPr>
            <w:tcW w:type="dxa" w:w="3968"/>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
            </w:r>
          </w:p>
        </w:tc>
        <w:tc>
          <w:tcPr>
            <w:tcW w:type="dxa" w:w="3968"/>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
            </w:r>
          </w:p>
        </w:tc>
      </w:tr>
      <w:tr>
        <w:tc>
          <w:tcPr>
            <w:tcW w:type="dxa" w:w="3968"/>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
            </w:r>
          </w:p>
        </w:tc>
        <w:tc>
          <w:tcPr>
            <w:tcW w:type="dxa" w:w="3968"/>
            <w:tcBorders>
              <w:top w:val="nil"/>
              <w:left w:val="nil"/>
              <w:bottom w:val="nil"/>
              <w:right w:val="nil"/>
            </w:tcBorders>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
            </w:r>
          </w:p>
        </w:tc>
      </w:tr>
      <w:tr>
        <w:tc>
          <w:tcPr>
            <w:tcW w:type="dxa" w:w="3968"/>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Project Manager</w:t>
            </w:r>
          </w:p>
        </w:tc>
        <w:tc>
          <w:tcPr>
            <w:tcW w:type="dxa" w:w="3968"/>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Dosen Pengampu</w:t>
            </w:r>
          </w:p>
        </w:tc>
      </w:tr>
      <w:tr>
        <w:tc>
          <w:tcPr>
            <w:tcW w:type="dxa" w:w="3968"/>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Venilia Dina Minarti</w:t>
            </w:r>
          </w:p>
        </w:tc>
        <w:tc>
          <w:tcPr>
            <w:tcW w:type="dxa" w:w="3968"/>
            <w:tcBorders>
              <w:top w:val="nil"/>
              <w:left w:val="nil"/>
              <w:bottom w:val="nil"/>
              <w:right w:val="nil"/>
            </w:tcBorders>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Dr., Ir. Norbertus Tri Suswanto Saptadi, S.Kom., MT., MM., IPM.</w:t>
            </w:r>
          </w:p>
        </w:tc>
      </w:tr>
    </w:tbl>
    <w:p>
      <w:r>
        <w:br w:type="page"/>
      </w:r>
    </w:p>
    <w:p>
      <w:pPr>
        <w:spacing w:after="240" w:before="0" w:line="360"/>
        <w:ind/>
        <w:jc w:val="center"/>
      </w:pPr>
      <w:r>
        <w:rPr>
          <w:rFonts w:ascii="Times New Roman" w:cs="Times New Roman" w:eastAsia="Times New Roman" w:hAnsi="Times New Roman"/>
          <w:b/>
          <w:bCs/>
          <w:i w:val="false"/>
          <w:iCs w:val="false"/>
          <w:caps/>
          <w:color w:val="1F3864"/>
          <w:sz w:val="28"/>
          <w:szCs w:val="28"/>
        </w:rPr>
        <w:t xml:space="preserve">KATA PENGANTAR</w:t>
      </w:r>
    </w:p>
    <w:p>
      <w:pPr>
        <w:pBdr>
          <w:bottom w:val="single" w:color="F4B942" w:sz="6"/>
        </w:pBdr>
        <w:spacing w:after="240" w:before="0"/>
        <w:jc w:val="center"/>
      </w:pP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Puji syukur kami panjatkan kepada Tuhan Yang Maha Esa atas berkat dan rahmat-Nya sehingga kami dapat menyelesaikan laporan proposal manajemen proyek ini dengan baik dan tepat waktu. Laporan ini disusun dalam rangka memenuhi tugas akhir mata kuliah Manajemen Proyek Teknologi Informasi pada Program Studi Teknik Informatika, Universitas Atma Jaya Makassar.</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Laporan proposal ini mengangkat studi kasus pengembangan platform SISTRAS-KAN (Sistem Terpadu Rantai Pasok Kelautan dan Perikanan Cerdas), sebuah solusi digital terintegrasi yang memanfaatkan teknologi Kecerdasan Buatan (AI), Blockchain, dan Internet of Things (IoT) untuk meningkatkan efisiensi dan transparansi rantai pasok perikanan di Provinsi Sulawesi Selatan. Pemilihan topik ini dilatarbelakangi oleh relevansinya terhadap kondisi nyata perikanan di Sulawesi Selatan sebagai salah satu produsen perikanan terbesar di Indonesia.</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Kami menyadari bahwa laporan ini masih jauh dari sempurna. Oleh karena itu, kami sangat mengharapkan kritik dan saran yang membangun dari Bapak/Ibu dosen pengampu dan semua pihak yang membaca laporan ini. Semoga laporan proposal ini dapat memberikan manfaat dan kontribusi nyata bagi pengembangan ilmu pengetahuan, khususnya di bidang manajemen proyek teknologi informasi.</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120" w:before="0" w:line="360"/>
        <w:ind/>
        <w:jc w:val="right"/>
      </w:pPr>
      <w:r>
        <w:rPr>
          <w:rFonts w:ascii="Times New Roman" w:cs="Times New Roman" w:eastAsia="Times New Roman" w:hAnsi="Times New Roman"/>
          <w:b w:val="false"/>
          <w:bCs w:val="false"/>
          <w:i w:val="false"/>
          <w:iCs w:val="false"/>
          <w:caps w:val="false"/>
          <w:color w:val="000000"/>
          <w:sz w:val="24"/>
          <w:szCs w:val="24"/>
        </w:rPr>
        <w:t xml:space="preserve">                                                                    Makassar, Juni 2026</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120" w:before="0" w:line="360"/>
        <w:ind/>
        <w:jc w:val="right"/>
      </w:pPr>
      <w:r>
        <w:rPr>
          <w:rFonts w:ascii="Times New Roman" w:cs="Times New Roman" w:eastAsia="Times New Roman" w:hAnsi="Times New Roman"/>
          <w:b/>
          <w:bCs/>
          <w:i w:val="false"/>
          <w:iCs w:val="false"/>
          <w:caps w:val="false"/>
          <w:color w:val="000000"/>
          <w:sz w:val="24"/>
          <w:szCs w:val="24"/>
        </w:rPr>
        <w:t xml:space="preserve">                                                                    Kelompok B</w:t>
      </w:r>
    </w:p>
    <w:p>
      <w:r>
        <w:br w:type="page"/>
      </w:r>
    </w:p>
    <w:p>
      <w:pPr>
        <w:spacing w:after="240" w:before="0" w:line="360"/>
        <w:ind/>
        <w:jc w:val="center"/>
      </w:pPr>
      <w:r>
        <w:rPr>
          <w:rFonts w:ascii="Times New Roman" w:cs="Times New Roman" w:eastAsia="Times New Roman" w:hAnsi="Times New Roman"/>
          <w:b/>
          <w:bCs/>
          <w:i w:val="false"/>
          <w:iCs w:val="false"/>
          <w:caps/>
          <w:color w:val="1F3864"/>
          <w:sz w:val="28"/>
          <w:szCs w:val="28"/>
        </w:rPr>
        <w:t xml:space="preserve">DAFTAR ISI</w:t>
      </w:r>
    </w:p>
    <w:p>
      <w:pPr>
        <w:pBdr>
          <w:bottom w:val="single" w:color="F4B942" w:sz="6"/>
        </w:pBdr>
        <w:spacing w:after="240" w:before="0"/>
        <w:jc w:val="center"/>
      </w:pPr>
    </w:p>
    <w:sdt>
      <w:sdtPr>
        <w:alias w:val="Daftar Isi"/>
      </w:sdtPr>
      <w:sdtContent>
        <w:p>
          <w:r>
            <w:fldChar w:fldCharType="begin" w:dirty="true"/>
            <w:instrText xml:space="preserve">TOC \h \o "1-3"</w:instrText>
            <w:fldChar w:fldCharType="separate"/>
          </w:r>
        </w:p>
        <w:p>
          <w:r>
            <w:fldChar w:fldCharType="end"/>
          </w:r>
        </w:p>
      </w:sdtContent>
    </w:sdt>
    <w:p>
      <w:r>
        <w:br w:type="page"/>
      </w:r>
    </w:p>
    <w:p>
      <w:pPr>
        <w:spacing w:after="240" w:before="0" w:line="360"/>
        <w:ind/>
        <w:jc w:val="center"/>
      </w:pPr>
      <w:r>
        <w:rPr>
          <w:rFonts w:ascii="Times New Roman" w:cs="Times New Roman" w:eastAsia="Times New Roman" w:hAnsi="Times New Roman"/>
          <w:b/>
          <w:bCs/>
          <w:i w:val="false"/>
          <w:iCs w:val="false"/>
          <w:caps/>
          <w:color w:val="1F3864"/>
          <w:sz w:val="28"/>
          <w:szCs w:val="28"/>
        </w:rPr>
        <w:t xml:space="preserve">DAFTAR TABEL</w:t>
      </w:r>
    </w:p>
    <w:p>
      <w:pPr>
        <w:pBdr>
          <w:bottom w:val="single" w:color="F4B942" w:sz="6"/>
        </w:pBdr>
        <w:spacing w:after="240" w:before="0"/>
        <w:jc w:val="center"/>
      </w:pP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1  Dokumen Kontrol Proyek SISTRAS-KAN</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2  Data Permasalahan Rantai Pasok Perikanan Sulawesi Selatan</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3  Spesifikasi Fitur Platform SISTRAS-KAN</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4  Faktor Penentu Keberhasilan Proyek</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5  Target Indikator Kinerja Utama (KPI) SISTRAS-KAN</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6  Arsitektur Teknologi Platform SISTRAS-KAN</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7  Ringkasan Informasi Proyek</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8  Analisis Pemangku Kepentingan (Stakeholder Analysis)</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9  Rencana Anggaran Biaya (RAB) Proyek</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10  Struktur Tim Proyek SISTRAS-KAN</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11  Work Breakdown Structure (WBS) SISTRAS-KAN</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12  Perencanaan Aktivitas Secara Global — Gantt Chart</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13  Daftar Batasan (Constraints) Proyek</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14  Risk Register Proyek SISTRAS-KAN</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Tabel 15  Daftar Asumsi Proyek SISTRAS-KAN</w:t>
      </w:r>
      <w:r>
        <w:rPr>
          <w:rFonts w:ascii="Times New Roman" w:cs="Times New Roman" w:eastAsia="Times New Roman" w:hAnsi="Times New Roman"/>
          <w:b w:val="false"/>
          <w:bCs w:val="false"/>
          <w:i w:val="false"/>
          <w:iCs w:val="false"/>
          <w:caps w:val="false"/>
          <w:color w:val="000000"/>
          <w:sz w:val="22"/>
          <w:szCs w:val="22"/>
        </w:rPr>
        <w:t xml:space="preserve">	..........  </w:t>
      </w:r>
    </w:p>
    <w:p>
      <w:r>
        <w:br w:type="page"/>
      </w:r>
    </w:p>
    <w:p>
      <w:pPr>
        <w:spacing w:after="240" w:before="0" w:line="360"/>
        <w:ind/>
        <w:jc w:val="center"/>
      </w:pPr>
      <w:r>
        <w:rPr>
          <w:rFonts w:ascii="Times New Roman" w:cs="Times New Roman" w:eastAsia="Times New Roman" w:hAnsi="Times New Roman"/>
          <w:b/>
          <w:bCs/>
          <w:i w:val="false"/>
          <w:iCs w:val="false"/>
          <w:caps/>
          <w:color w:val="1F3864"/>
          <w:sz w:val="28"/>
          <w:szCs w:val="28"/>
        </w:rPr>
        <w:t xml:space="preserve">DAFTAR GAMBAR</w:t>
      </w:r>
    </w:p>
    <w:p>
      <w:pPr>
        <w:pBdr>
          <w:bottom w:val="single" w:color="F4B942" w:sz="6"/>
        </w:pBdr>
        <w:spacing w:after="240" w:before="0"/>
        <w:jc w:val="center"/>
      </w:pP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Gambar 1  Diagram Arsitektur Sistem Platform SISTRAS-KAN</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Gambar 2  Matriks Risiko Proyek SISTRAS-KAN (Probability × Impact)</w:t>
      </w:r>
      <w:r>
        <w:rPr>
          <w:rFonts w:ascii="Times New Roman" w:cs="Times New Roman" w:eastAsia="Times New Roman" w:hAnsi="Times New Roman"/>
          <w:b w:val="false"/>
          <w:bCs w:val="false"/>
          <w:i w:val="false"/>
          <w:iCs w:val="false"/>
          <w:caps w:val="false"/>
          <w:color w:val="000000"/>
          <w:sz w:val="22"/>
          <w:szCs w:val="22"/>
        </w:rPr>
        <w:t xml:space="preserve">	..........  </w:t>
      </w:r>
    </w:p>
    <w:p>
      <w:pPr>
        <w:tabs>
          <w:tab w:val="right" w:pos="9026"/>
        </w:tabs>
        <w:spacing w:after="80" w:before="0"/>
      </w:pPr>
      <w:r>
        <w:rPr>
          <w:rFonts w:ascii="Times New Roman" w:cs="Times New Roman" w:eastAsia="Times New Roman" w:hAnsi="Times New Roman"/>
          <w:b w:val="false"/>
          <w:bCs w:val="false"/>
          <w:i w:val="false"/>
          <w:iCs w:val="false"/>
          <w:caps w:val="false"/>
          <w:color w:val="000000"/>
          <w:sz w:val="22"/>
          <w:szCs w:val="22"/>
        </w:rPr>
        <w:t xml:space="preserve">Gambar 3  Struktur WBS (Work Breakdown Structure) Hierarki Proyek</w:t>
      </w:r>
      <w:r>
        <w:rPr>
          <w:rFonts w:ascii="Times New Roman" w:cs="Times New Roman" w:eastAsia="Times New Roman" w:hAnsi="Times New Roman"/>
          <w:b w:val="false"/>
          <w:bCs w:val="false"/>
          <w:i w:val="false"/>
          <w:iCs w:val="false"/>
          <w:caps w:val="false"/>
          <w:color w:val="000000"/>
          <w:sz w:val="22"/>
          <w:szCs w:val="22"/>
        </w:rPr>
        <w:t xml:space="preserve">	..........  </w:t>
      </w:r>
    </w:p>
    <w:p>
      <w:r>
        <w:br w:type="page"/>
      </w:r>
    </w:p>
    <w:p>
      <w:pPr>
        <w:sectPr>
          <w:footerReference w:type="default" r:id="rId7"/>
          <w:type w:val="nextPage"/>
          <w:pgSz w:w="11906" w:h="16838" w:orient="portrait"/>
          <w:pgMar w:top="1701" w:right="1701" w:bottom="1701" w:left="2268" w:header="708" w:footer="708" w:gutter="0"/>
          <w:pgNumType w:start="1" w:fmt="lowerRoman"/>
          <w:docGrid w:linePitch="360"/>
        </w:sectPr>
      </w:pPr>
    </w:p>
    <w:p>
      <w:pPr>
        <w:pStyle w:val="Heading1"/>
        <w:spacing w:after="180" w:before="0"/>
      </w:pPr>
      <w:r>
        <w:rPr>
          <w:rFonts w:ascii="Times New Roman" w:cs="Times New Roman" w:eastAsia="Times New Roman" w:hAnsi="Times New Roman"/>
          <w:b/>
          <w:bCs/>
          <w:i w:val="false"/>
          <w:iCs w:val="false"/>
          <w:caps w:val="false"/>
          <w:color w:val="1F3864"/>
          <w:sz w:val="28"/>
          <w:szCs w:val="28"/>
        </w:rPr>
        <w:t xml:space="preserve">DOKUMEN KONTROL</w:t>
      </w:r>
    </w:p>
    <w:p>
      <w:pPr>
        <w:pBdr>
          <w:bottom w:val="single" w:color="2E75B6" w:sz="6"/>
        </w:pBdr>
        <w:spacing w:after="240" w:before="0"/>
      </w:pP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1. Dokumen Kontrol Proyek SISTRAS-KAN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000"/>
        <w:gridCol w:w="4937"/>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FIELD</w:t>
            </w:r>
          </w:p>
        </w:tc>
        <w:tc>
          <w:tcPr>
            <w:tcW w:type="dxa" w:w="49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KETERANGAN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Nama Proyek</w:t>
            </w:r>
          </w:p>
        </w:tc>
        <w:tc>
          <w:tcPr>
            <w:tcW w:type="dxa" w:w="4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SISTRAS-KAN (Sistem Terpadu Rantai Pasok Kelautan dan Perikanan Cerdas)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Kode Proyek</w:t>
            </w:r>
          </w:p>
        </w:tc>
        <w:tc>
          <w:tcPr>
            <w:tcW w:type="dxa" w:w="4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PRJB-2026-SISTRASKAN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Versi Dokumen</w:t>
            </w:r>
          </w:p>
        </w:tc>
        <w:tc>
          <w:tcPr>
            <w:tcW w:type="dxa" w:w="4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1.0 (Final)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Tanggal Pembuatan</w:t>
            </w:r>
          </w:p>
        </w:tc>
        <w:tc>
          <w:tcPr>
            <w:tcW w:type="dxa" w:w="4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16 Juni 2026</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Tanggal Revisi</w:t>
            </w:r>
          </w:p>
        </w:tc>
        <w:tc>
          <w:tcPr>
            <w:tcW w:type="dxa" w:w="4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Nama Kelompok</w:t>
            </w:r>
          </w:p>
        </w:tc>
        <w:tc>
          <w:tcPr>
            <w:tcW w:type="dxa" w:w="4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Kelompok B — Manajemen Proyek TI</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Project Manager</w:t>
            </w:r>
          </w:p>
        </w:tc>
        <w:tc>
          <w:tcPr>
            <w:tcW w:type="dxa" w:w="4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Venilia Dina Minarti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Tim Penyusun</w:t>
            </w:r>
          </w:p>
        </w:tc>
        <w:tc>
          <w:tcPr>
            <w:tcW w:type="dxa" w:w="4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Fernando Revan Pratama Satrianto, Michael Gabriello Sente, Jonathan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Dosen Pengampu</w:t>
            </w:r>
          </w:p>
        </w:tc>
        <w:tc>
          <w:tcPr>
            <w:tcW w:type="dxa" w:w="4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Dr., Ir. Norbertus Tri Suswanto Saptadi, S.Kom., MT., MM., IPM.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Mata Kuliah</w:t>
            </w:r>
          </w:p>
        </w:tc>
        <w:tc>
          <w:tcPr>
            <w:tcW w:type="dxa" w:w="4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Manajemen Proyek Teknologi Informasi</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Program Studi</w:t>
            </w:r>
          </w:p>
        </w:tc>
        <w:tc>
          <w:tcPr>
            <w:tcW w:type="dxa" w:w="4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Teknik Informatika — Universitas Atma Jaya Makassar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Status Dokumen</w:t>
            </w:r>
          </w:p>
        </w:tc>
        <w:tc>
          <w:tcPr>
            <w:tcW w:type="dxa" w:w="4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Disetujui / Approved</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r>
        <w:br w:type="page"/>
      </w:r>
    </w:p>
    <w:p>
      <w:pPr>
        <w:pStyle w:val="Heading1"/>
        <w:spacing w:after="80" w:before="0"/>
      </w:pPr>
      <w:r>
        <w:rPr>
          <w:rFonts w:ascii="Times New Roman" w:cs="Times New Roman" w:eastAsia="Times New Roman" w:hAnsi="Times New Roman"/>
          <w:b/>
          <w:bCs/>
          <w:i w:val="false"/>
          <w:iCs w:val="false"/>
          <w:caps w:val="false"/>
          <w:color w:val="1F3864"/>
          <w:sz w:val="32"/>
          <w:szCs w:val="32"/>
        </w:rPr>
        <w:t xml:space="preserve">BAB I</w:t>
      </w:r>
    </w:p>
    <w:p>
      <w:pPr>
        <w:pStyle w:val="Heading1"/>
        <w:spacing w:after="180" w:before="0"/>
      </w:pPr>
      <w:r>
        <w:rPr>
          <w:rFonts w:ascii="Times New Roman" w:cs="Times New Roman" w:eastAsia="Times New Roman" w:hAnsi="Times New Roman"/>
          <w:b/>
          <w:bCs/>
          <w:i w:val="false"/>
          <w:iCs w:val="false"/>
          <w:caps w:val="false"/>
          <w:color w:val="1F3864"/>
          <w:sz w:val="28"/>
          <w:szCs w:val="28"/>
        </w:rPr>
        <w:t xml:space="preserve">INFORMASI UMUM PROYEK</w:t>
      </w:r>
    </w:p>
    <w:p>
      <w:pPr>
        <w:pBdr>
          <w:bottom w:val="single" w:color="2E75B6" w:sz="6"/>
        </w:pBdr>
        <w:spacing w:after="300" w:before="0"/>
      </w:pP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A. Permasalahan</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Provinsi Sulawesi Selatan merupakan salah satu sentra produksi perikanan terbesar di Indonesia, dengan lebih dari 47.000 nelayan aktif dan produksi ikan mencapai 1,2 juta ton per tahun (KKP, 2024). Namun di balik potensi besar tersebut, sektor perikanan di Sulsel menghadapi berbagai permasalahan kritis yang menghambat pertumbuhan ekonomi nelayan dan keberlanjutan industri.</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Berdasarkan hasil kajian lapangan dan studi literatur, setidaknya terdapat enam permasalahan utama yang diidentifikasi dalam rantai pasok perikanan di Sulawesi Selatan:</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2. Data Permasalahan Rantai Pasok Perikanan Sulawesi Selatan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2937"/>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No.</w:t>
            </w:r>
          </w:p>
        </w:tc>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Permasalahan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Indikator</w:t>
            </w:r>
          </w:p>
        </w:tc>
        <w:tc>
          <w:tcPr>
            <w:tcW w:type="dxa" w:w="29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Dampak</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Rantai pasok tidak transparan dan tidak terlacak</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74% nelayan belum terdigitalisasi</w:t>
            </w:r>
          </w:p>
        </w:tc>
        <w:tc>
          <w:tcPr>
            <w:tcW w:type="dxa" w:w="2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Harga tidak adil, nelayan dirugikan hingga 35% dari nilai produk</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Kerugian pasca panen akibat tidak ada cold chain monitoring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Kerugian 30–40% produksi</w:t>
            </w:r>
          </w:p>
        </w:tc>
        <w:tc>
          <w:tcPr>
            <w:tcW w:type="dxa" w:w="2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Potensi kerugian Rp 2,1 triliun/tahun di Sulsel</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Asimetri informasi harga pasar antara nelayan dan pedagang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Selisih harga nelayan–konsumen &gt;200%</w:t>
            </w:r>
          </w:p>
        </w:tc>
        <w:tc>
          <w:tcPr>
            <w:tcW w:type="dxa" w:w="2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Pendapatan nelayan tidak optimal, kesejahteraan rendah</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Tidak ada sistem traceability dari tangkap hingga konsumen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0% produk tersertifikasi digital</w:t>
            </w:r>
          </w:p>
        </w:tc>
        <w:tc>
          <w:tcPr>
            <w:tcW w:type="dxa" w:w="2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Hambatan ekspor ke negara mensyaratkan CoC (Chain of Custody)</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Proses audit dan sertifikasi BKIPM masih manual dan lambat</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Rata-rata 14 hari per sertifikasi</w:t>
            </w:r>
          </w:p>
        </w:tc>
        <w:tc>
          <w:tcPr>
            <w:tcW w:type="dxa" w:w="2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Menurunkan daya saing ekspor produk perikanan Sulsel</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Minimnya akses data analitik untuk pengambilan keputusan bisnis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Hanya 8% pelaku usaha memiliki sistem informasi</w:t>
            </w:r>
          </w:p>
        </w:tc>
        <w:tc>
          <w:tcPr>
            <w:tcW w:type="dxa" w:w="2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Keputusan bisnis reaktif, bukan berbasis data</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Kombinasi permasalahan di atas menciptakan kondisi yang tidak menguntungkan bagi 47.000 nelayan Sulawesi Selatan. Ketiadaan sistem informasi terintegrasi menjadi akar permasalahan yang mendorong kebutuhan mendesak akan pengembangan platform digital cerdas yang mampu menjawab seluruh tantangan tersebut secara komprehensif (Garcia et al., 2023; Hidayat &amp; Nugroho, 2024).</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B. Deskripsi Produk</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SISTRAS-KAN adalah platform manajemen rantai pasok perikanan cerdas berbasis cloud yang mengintegrasikan teknologi Kecerdasan Buatan (AI/ML), Blockchain (Hyperledger Fabric), dan Internet of Things (IoT) dalam satu ekosistem digital terpadu. Platform ini dirancang untuk menghubungkan seluruh pelaku dalam rantai pasok perikanan — mulai dari nelayan di laut, pengolah, pedagang, eksportir, hingga regulator pemerintah — dalam sebuah jaringan informasi yang transparan, real-time, dan terverifikasi.</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3. Spesifikasi Fitur Platform SISTRAS-KAN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937"/>
        <w:gridCol w:w="240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No.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Modul / Fitur</w:t>
            </w:r>
          </w:p>
        </w:tc>
        <w:tc>
          <w:tcPr>
            <w:tcW w:type="dxa" w:w="29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Deskripsi Fungsional</w:t>
            </w:r>
          </w:p>
        </w:tc>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Teknologi Utama</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IoT Fleet Tracker</w:t>
            </w:r>
          </w:p>
        </w:tc>
        <w:tc>
          <w:tcPr>
            <w:tcW w:type="dxa" w:w="2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Pemantauan posisi kapal nelayan secara real-time via GPS &amp; AIS, dilengkapi sensor cuaca dan kondisi mesin</w:t>
            </w:r>
          </w:p>
        </w:tc>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ESP32, LoRaWAN, MQTT, GPS NEO-M8N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Cold Chain Monitor</w:t>
            </w:r>
          </w:p>
        </w:tc>
        <w:tc>
          <w:tcPr>
            <w:tcW w:type="dxa" w:w="2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Sensor suhu dan kelembaban terintegrasi di kapal, kendaraan, dan gudang penyimpanan ikan dengan alert otomatis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DHT22 Sensor, AWS IoT Core, Grafana</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Blockchain Traceability</w:t>
            </w:r>
          </w:p>
        </w:tc>
        <w:tc>
          <w:tcPr>
            <w:tcW w:type="dxa" w:w="2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Pencatatan tidak dapat dimanipulasi (immutable ledger) setiap titik rantai pasok dari tangkap hingga distribusi</w:t>
            </w:r>
          </w:p>
        </w:tc>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Hyperledger Fabric 2.5, Smart Contract</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AI Price Intelligence</w:t>
            </w:r>
          </w:p>
        </w:tc>
        <w:tc>
          <w:tcPr>
            <w:tcW w:type="dxa" w:w="2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Prediksi harga ikan berbasis ML menggunakan data historis, cuaca, musim tangkap, dan tren pasar global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LSTM Model, TensorFlow, AWS SageMaker</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Quality AI Detection</w:t>
            </w:r>
          </w:p>
        </w:tc>
        <w:tc>
          <w:tcPr>
            <w:tcW w:type="dxa" w:w="2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Deteksi kualitas ikan otomatis menggunakan computer vision dari foto produk yang diunggah pedagang</w:t>
            </w:r>
          </w:p>
        </w:tc>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YOLOv8, OpenCV, CNN Classification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Digital Marketplace</w:t>
            </w:r>
          </w:p>
        </w:tc>
        <w:tc>
          <w:tcPr>
            <w:tcW w:type="dxa" w:w="2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Platform jual-beli terpadu antara nelayan, pengepul, pedagang, dan eksportir dengan sistem pembayaran terintegrasi</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React.js, Midtrans Payment Gateway</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BKIPM Integration Hub</w:t>
            </w:r>
          </w:p>
        </w:tc>
        <w:tc>
          <w:tcPr>
            <w:tcW w:type="dxa" w:w="2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Antarmuka API untuk integrasi data sertifikasi, karantina, dan audit dengan sistem BKIPM dan Kementerian KP</w:t>
            </w:r>
          </w:p>
        </w:tc>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REST API, OAuth2, Swagger</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Executive Dashboard</w:t>
            </w:r>
          </w:p>
        </w:tc>
        <w:tc>
          <w:tcPr>
            <w:tcW w:type="dxa" w:w="2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Dasbor analitik real-time bagi pemerintah provinsi untuk memantau produksi, distribusi, dan kesejahteraan nelayan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React.js, D3.js, Recharts, BigQuery</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9</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Mobile App Nelayan</w:t>
            </w:r>
          </w:p>
        </w:tc>
        <w:tc>
          <w:tcPr>
            <w:tcW w:type="dxa" w:w="2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Aplikasi mobile untuk nelayan melaporkan hasil tangkap, mendapatkan info cuaca, harga, dan akses pasar</w:t>
            </w:r>
          </w:p>
        </w:tc>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React Native, Offline-first PWA</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Manajemen Dokumen Digital</w:t>
            </w:r>
          </w:p>
        </w:tc>
        <w:tc>
          <w:tcPr>
            <w:tcW w:type="dxa" w:w="29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Digitalisasi dokumen Surat Laik Operasi (SLO), izin penangkapan, sertifikat mutu, dan dokumen ekspor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PDF Digital, E-Signature, QR Code</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Gambar 1. Diagram Arsitektur Sistem Platform SISTRAS-KAN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LAPISAN PRESENTASI (Presentation Layer)</w:t>
            </w:r>
          </w:p>
        </w:tc>
      </w:tr>
      <w:tr>
        <w:tc>
          <w:tcPr>
            <w:tcW w:type="dxa" w:w="793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jc w:val="center"/>
            </w:pPr>
            <w:r>
              <w:rPr>
                <w:rFonts w:ascii="Times New Roman" w:cs="Times New Roman" w:eastAsia="Times New Roman" w:hAnsi="Times New Roman"/>
                <w:b w:val="false"/>
                <w:bCs w:val="false"/>
                <w:i w:val="false"/>
                <w:iCs w:val="false"/>
                <w:caps w:val="false"/>
                <w:color w:val="000000"/>
                <w:sz w:val="22"/>
                <w:szCs w:val="22"/>
              </w:rPr>
              <w:t xml:space="preserve">Web Dashboard  |  Mobile App (iOS &amp; Android)  |  Admin Panel  |  API Consumer Portal</w:t>
            </w:r>
          </w:p>
        </w:tc>
      </w:tr>
      <w:tr>
        <w:tc>
          <w:tcPr>
            <w:tcW w:type="dxa" w:w="7937"/>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LAPISAN API GATEWAY (Security &amp; Routing Layer)</w:t>
            </w:r>
          </w:p>
        </w:tc>
      </w:tr>
      <w:tr>
        <w:tc>
          <w:tcPr>
            <w:tcW w:type="dxa" w:w="793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jc w:val="center"/>
            </w:pPr>
            <w:r>
              <w:rPr>
                <w:rFonts w:ascii="Times New Roman" w:cs="Times New Roman" w:eastAsia="Times New Roman" w:hAnsi="Times New Roman"/>
                <w:b w:val="false"/>
                <w:bCs w:val="false"/>
                <w:i w:val="false"/>
                <w:iCs w:val="false"/>
                <w:caps w:val="false"/>
                <w:color w:val="000000"/>
                <w:sz w:val="22"/>
                <w:szCs w:val="22"/>
              </w:rPr>
              <w:t xml:space="preserve">AWS API Gateway  |  JWT Authentication  |  OAuth 2.0  |  Rate Limiting  |  Load Balancer</w:t>
            </w:r>
          </w:p>
        </w:tc>
      </w:tr>
      <w:tr>
        <w:tc>
          <w:tcPr>
            <w:tcW w:type="dxa" w:w="7937"/>
            <w:tcBorders>
              <w:top w:val="single" w:color="AAAAAA" w:sz="1"/>
              <w:left w:val="single" w:color="AAAAAA" w:sz="1"/>
              <w:bottom w:val="single" w:color="AAAAAA" w:sz="1"/>
              <w:right w:val="single" w:color="AAAAAA" w:sz="1"/>
            </w:tcBorders>
            <w:shd w:fill="1F5C8E"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LAPISAN LAYANAN (Microservices Layer)</w:t>
            </w:r>
          </w:p>
        </w:tc>
      </w:tr>
      <w:tr>
        <w:tc>
          <w:tcPr>
            <w:tcW w:type="dxa" w:w="79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b w:val="false"/>
                <w:bCs w:val="false"/>
                <w:i w:val="false"/>
                <w:iCs w:val="false"/>
                <w:caps w:val="false"/>
                <w:color w:val="000000"/>
                <w:sz w:val="22"/>
                <w:szCs w:val="22"/>
              </w:rPr>
              <w:t xml:space="preserve">AI/ML Engine  |  Blockchain Node (HLF)  |  IoT Hub Service  |  Notification Service  |  Payment Service  |  Document Service</w:t>
            </w:r>
          </w:p>
        </w:tc>
      </w:tr>
      <w:tr>
        <w:tc>
          <w:tcPr>
            <w:tcW w:type="dxa" w:w="7937"/>
            <w:tcBorders>
              <w:top w:val="single" w:color="AAAAAA" w:sz="1"/>
              <w:left w:val="single" w:color="AAAAAA" w:sz="1"/>
              <w:bottom w:val="single" w:color="AAAAAA" w:sz="1"/>
              <w:right w:val="single" w:color="AAAAAA" w:sz="1"/>
            </w:tcBorders>
            <w:shd w:fill="163A5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LAPISAN DATA (Data Persistence Layer)</w:t>
            </w:r>
          </w:p>
        </w:tc>
      </w:tr>
      <w:tr>
        <w:tc>
          <w:tcPr>
            <w:tcW w:type="dxa" w:w="793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jc w:val="center"/>
            </w:pPr>
            <w:r>
              <w:rPr>
                <w:rFonts w:ascii="Times New Roman" w:cs="Times New Roman" w:eastAsia="Times New Roman" w:hAnsi="Times New Roman"/>
                <w:b w:val="false"/>
                <w:bCs w:val="false"/>
                <w:i w:val="false"/>
                <w:iCs w:val="false"/>
                <w:caps w:val="false"/>
                <w:color w:val="000000"/>
                <w:sz w:val="22"/>
                <w:szCs w:val="22"/>
              </w:rPr>
              <w:t xml:space="preserve">PostgreSQL  |  MongoDB  |  Redis Cache  |  AWS S3  |  BigQuery  |  Hyperledger Fabric Ledger</w:t>
            </w:r>
          </w:p>
        </w:tc>
      </w:tr>
      <w:tr>
        <w:tc>
          <w:tcPr>
            <w:tcW w:type="dxa" w:w="79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LAPISAN INFRASTRUKTUR (AWS Cloud + On-Premise IoT)</w:t>
            </w:r>
          </w:p>
        </w:tc>
      </w:tr>
      <w:tr>
        <w:tc>
          <w:tcPr>
            <w:tcW w:type="dxa" w:w="793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jc w:val="center"/>
            </w:pPr>
            <w:r>
              <w:rPr>
                <w:rFonts w:ascii="Times New Roman" w:cs="Times New Roman" w:eastAsia="Times New Roman" w:hAnsi="Times New Roman"/>
                <w:b w:val="false"/>
                <w:bCs w:val="false"/>
                <w:i w:val="false"/>
                <w:iCs w:val="false"/>
                <w:caps w:val="false"/>
                <w:color w:val="000000"/>
                <w:sz w:val="22"/>
                <w:szCs w:val="22"/>
              </w:rPr>
              <w:t xml:space="preserve">AWS EC2  |  Lambda  |  SageMaker  |  IoT Core  |  Kubernetes (EKS)  |  CI/CD Jenkins  |  LoRaWAN Gateway</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C. Faktor Penentu Keberhasilan</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Keberhasilan proyek SISTRAS-KAN sangat bergantung pada terpenuhinya sejumlah faktor kritis yang diidentifikasi melalui analisis mendalam terhadap kondisi lapangan, literatur akademis, dan best practice proyek sejenis. Berikut adalah faktor-faktor penentu keberhasilan beserta strategi pemenuhannya:</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4. Faktor Penentu Keberhasilan Proyek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300"/>
        <w:gridCol w:w="3637"/>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No.</w:t>
            </w:r>
          </w:p>
        </w:tc>
        <w:tc>
          <w:tcPr>
            <w:tcW w:type="dxa" w:w="26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Faktor Kritis Keberhasilan (CSF)</w:t>
            </w:r>
          </w:p>
        </w:tc>
        <w:tc>
          <w:tcPr>
            <w:tcW w:type="dxa" w:w="13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Prioritas</w:t>
            </w:r>
          </w:p>
        </w:tc>
        <w:tc>
          <w:tcPr>
            <w:tcW w:type="dxa" w:w="36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Strategi Pemenuhan</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Dukungan penuh Pemerintah Provinsi Sulawesi Selatan dan Dinas Kelautan dan Perikanan</w:t>
            </w:r>
          </w:p>
        </w:tc>
        <w:tc>
          <w:tcPr>
            <w:tcW w:type="dxa" w:w="1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C00000"/>
                <w:sz w:val="22"/>
                <w:szCs w:val="22"/>
              </w:rPr>
              <w:t xml:space="preserve">SANGAT TINGGI</w:t>
            </w:r>
          </w:p>
        </w:tc>
        <w:tc>
          <w:tcPr>
            <w:tcW w:type="dxa" w:w="36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MoU formal antara tim proyek dengan Pemprov Sulsel; pelibatan pejabat kunci sebagai project sponsor</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Adopsi dan adaptasi teknologi oleh nelayan (teknologi literasi rendah)</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C00000"/>
                <w:sz w:val="22"/>
                <w:szCs w:val="22"/>
              </w:rPr>
              <w:t xml:space="preserve">SANGAT TINGGI</w:t>
            </w:r>
          </w:p>
        </w:tc>
        <w:tc>
          <w:tcPr>
            <w:tcW w:type="dxa" w:w="36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Program pelatihan intensif 2 minggu per kelompok nelayan; antarmuka mobile berbasis gambar dan suara</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Ketersediaan infrastruktur jaringan (4G/5G) di zona tangkap perairan Sulsel</w:t>
            </w:r>
          </w:p>
        </w:tc>
        <w:tc>
          <w:tcPr>
            <w:tcW w:type="dxa" w:w="1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36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Implementasi LoRaWAN sebagai fallback; kerjasama dengan Telkomsel untuk coverage expansion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Keandalan perangkat IoT dalam kondisi lingkungan laut yang ekstrem (garam, air, panas)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36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Penggunaan perangkat marine-grade (IP67); uji coba selama 3 bulan sebelum deployment massal</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Integrasi API dengan sistem BKIPM dan Kementerian Kelautan dan Perikanan RI</w:t>
            </w:r>
          </w:p>
        </w:tc>
        <w:tc>
          <w:tcPr>
            <w:tcW w:type="dxa" w:w="1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36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Koordinasi teknis dengan BKIPM; pengembangan middleware adapter; testing API di lingkungan sandbox</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Keamanan data dan kepatuhan terhadap regulasi PDP (Perlindungan Data Pribadi)</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36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Enkripsi end-to-end AES-256; audit keamanan oleh pihak ketiga; kepatuhan UU PDP No. 27/2022</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Keterlibatan aktif seluruh pemangku kepentingan sepanjang siklus proyek</w:t>
            </w:r>
          </w:p>
        </w:tc>
        <w:tc>
          <w:tcPr>
            <w:tcW w:type="dxa" w:w="1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70AD47"/>
                <w:sz w:val="22"/>
                <w:szCs w:val="22"/>
              </w:rPr>
              <w:t xml:space="preserve">SEDANG</w:t>
            </w:r>
          </w:p>
        </w:tc>
        <w:tc>
          <w:tcPr>
            <w:tcW w:type="dxa" w:w="36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Penyelenggaraan sprint review bulanan; stakeholder committee; portal feedback real-time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8</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Kualitas dan retensi sumber daya manusia tim pengembang</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70AD47"/>
                <w:sz w:val="22"/>
                <w:szCs w:val="22"/>
              </w:rPr>
              <w:t xml:space="preserve">SEDANG</w:t>
            </w:r>
          </w:p>
        </w:tc>
        <w:tc>
          <w:tcPr>
            <w:tcW w:type="dxa" w:w="36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Kompetitif compensation package; hybrid work arrangement; continuous learning program</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D. Keuntungan yang Diharapkan</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Implementasi platform SISTRAS-KAN diproyeksikan akan memberikan dampak transformasional yang terukur bagi ekosistem perikanan Sulawesi Selatan. Keuntungan yang diharapkan mencakup dimensi ekonomi, operasional, sosial, dan regulasi:</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5. Target Indikator Kinerja Utama (KPI) SISTRAS-KAN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137"/>
        <w:gridCol w:w="1800"/>
        <w:gridCol w:w="160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No.</w:t>
            </w:r>
          </w:p>
        </w:tc>
        <w:tc>
          <w:tcPr>
            <w:tcW w:type="dxa" w:w="2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Indikator Kinerja (KPI)</w:t>
            </w:r>
          </w:p>
        </w:tc>
        <w:tc>
          <w:tcPr>
            <w:tcW w:type="dxa" w:w="21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Kondisi Baseline (2026)</w:t>
            </w:r>
          </w:p>
        </w:tc>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Target (Tahun 2)</w:t>
            </w:r>
          </w:p>
        </w:tc>
        <w:tc>
          <w:tcPr>
            <w:tcW w:type="dxa" w:w="16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Kategori</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Efisiensi rantai pasok (cycle time pengiriman)</w:t>
            </w:r>
          </w:p>
        </w:tc>
        <w:tc>
          <w:tcPr>
            <w:tcW w:type="dxa" w:w="2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18 hari rata-rata</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&lt; 10 hari (↓45%)</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Operasional</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Kerugian produk pasca panen (waste rate)</w:t>
            </w:r>
          </w:p>
        </w:tc>
        <w:tc>
          <w:tcPr>
            <w:tcW w:type="dxa" w:w="2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35% produksi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&lt; 15% (↓57%)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Ekonomi</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Pendapatan rata-rata nelayan per bulan</w:t>
            </w:r>
          </w:p>
        </w:tc>
        <w:tc>
          <w:tcPr>
            <w:tcW w:type="dxa" w:w="2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Rp 1,8 juta/bulan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Rp 2,7 juta/bulan (↑50%)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Sosial-Ekonomi</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Waktu proses sertifikasi BKIPM</w:t>
            </w:r>
          </w:p>
        </w:tc>
        <w:tc>
          <w:tcPr>
            <w:tcW w:type="dxa" w:w="2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14 hari kerja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2 hari kerja (↓86%)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Regulasi</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Volume ekspor produk tersertifikasi digital</w:t>
            </w:r>
          </w:p>
        </w:tc>
        <w:tc>
          <w:tcPr>
            <w:tcW w:type="dxa" w:w="2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0 ton (0%)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12.000 ton/tahun</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Ekonomi</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Jumlah nelayan terdaftar dalam sistem digital</w:t>
            </w:r>
          </w:p>
        </w:tc>
        <w:tc>
          <w:tcPr>
            <w:tcW w:type="dxa" w:w="2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0 nelayan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35.000 nelayan (75%)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Adopsi</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Akurasi prediksi harga ikan (AI model)</w:t>
            </w:r>
          </w:p>
        </w:tc>
        <w:tc>
          <w:tcPr>
            <w:tcW w:type="dxa" w:w="2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Tidak ada sistem</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&gt; 92% akurasi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Teknologi</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Return on Investment (ROI) proyek</w:t>
            </w:r>
          </w:p>
        </w:tc>
        <w:tc>
          <w:tcPr>
            <w:tcW w:type="dxa" w:w="2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ROI 148% dalam 3 tahun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Keuangan</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9</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Pengurangan emisi karbon (efisiensi logistik)</w:t>
            </w:r>
          </w:p>
        </w:tc>
        <w:tc>
          <w:tcPr>
            <w:tcW w:type="dxa" w:w="2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Baseline 2026</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 22% emisi CO₂</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Lingkungan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Customer Satisfaction Score nelayan pengguna</w:t>
            </w:r>
          </w:p>
        </w:tc>
        <w:tc>
          <w:tcPr>
            <w:tcW w:type="dxa" w:w="2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&gt; 4.2/5.0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Kualitas Layanan</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E. Teknologi yang Digunakan</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Pemilihan teknologi pada proyek SISTRAS-KAN didasarkan pada kriteria keandalan (reliability), skalabilitas (scalability), keamanan (security), dan ekosistem komunitas aktif. Tabel berikut menyajikan stack teknologi lengkap yang diorganisir berdasarkan lapisan arsitektur sistem:</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6. Arsitektur Teknologi Platform SISTRAS-KAN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137"/>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Lapisan / Layer</w:t>
            </w:r>
          </w:p>
        </w:tc>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Komponen Teknologi</w:t>
            </w:r>
          </w:p>
        </w:tc>
        <w:tc>
          <w:tcPr>
            <w:tcW w:type="dxa" w:w="31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Fungsi dan Justifikasi</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Frontend Web</w:t>
            </w:r>
          </w:p>
        </w:tc>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React.js 18, TypeScript, Tailwind CSS, Redux Toolkit</w:t>
            </w:r>
          </w:p>
        </w:tc>
        <w:tc>
          <w:tcPr>
            <w:tcW w:type="dxa" w:w="3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SPA framework untuk dashboard analitik; TypeScript meningkatkan type safety; Tailwind CSS untuk desain responsif</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Mobile Application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React Native 0.73, Expo, AsyncStorage, Offline-First PWA</w:t>
            </w:r>
          </w:p>
        </w:tc>
        <w:tc>
          <w:tcPr>
            <w:tcW w:type="dxa" w:w="3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Cross-platform (iOS &amp; Android) dengan satu codebase; dukungan offline untuk nelayan di zona minim sinyal</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Backend API</w:t>
            </w:r>
          </w:p>
        </w:tc>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Node.js 20 (Express.js), Python 3.11 (FastAPI), gRPC</w:t>
            </w:r>
          </w:p>
        </w:tc>
        <w:tc>
          <w:tcPr>
            <w:tcW w:type="dxa" w:w="3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Node.js untuk API gateway; FastAPI untuk layanan AI yang performatif; gRPC untuk komunikasi antar microservices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AI / Machine Learning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TensorFlow 2.15, PyTorch 2.1, Scikit-learn, AWS SageMaker</w:t>
            </w:r>
          </w:p>
        </w:tc>
        <w:tc>
          <w:tcPr>
            <w:tcW w:type="dxa" w:w="3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TensorFlow untuk LSTM price prediction; PyTorch untuk computer vision quality detection; SageMaker untuk MLOps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Blockchain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Hyperledger Fabric 2.5, Chaincode (Go lang), IPFS</w:t>
            </w:r>
          </w:p>
        </w:tc>
        <w:tc>
          <w:tcPr>
            <w:tcW w:type="dxa" w:w="3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Permissioned blockchain untuk enterprise; chaincode sebagai smart contract traceability; IPFS untuk dokumen off-chain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IoT Platform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ESP32-S3, DHT22, GPS NEO-M8N, LoRaWAN (SX1276), MQTT</w:t>
            </w:r>
          </w:p>
        </w:tc>
        <w:tc>
          <w:tcPr>
            <w:tcW w:type="dxa" w:w="3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ESP32 sebagai edge device kapal; LoRaWAN untuk jangkauan 15 km tanpa 4G; MQTT untuk protokol IoT ringan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Database Relasional</w:t>
            </w:r>
          </w:p>
        </w:tc>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PostgreSQL 16, TimescaleDB extension</w:t>
            </w:r>
          </w:p>
        </w:tc>
        <w:tc>
          <w:tcPr>
            <w:tcW w:type="dxa" w:w="3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Data transaksional; TimescaleDB untuk time-series IoT data dengan kompresi 90%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Database NoSQL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MongoDB 7.0, Redis 7.2 (cache + session)</w:t>
            </w:r>
          </w:p>
        </w:tc>
        <w:tc>
          <w:tcPr>
            <w:tcW w:type="dxa" w:w="3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MongoDB untuk dokumen fleksibel; Redis untuk caching harga real-time dan session management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Cloud Infrastructure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AWS EC2, EKS (Kubernetes), Lambda, S3, CloudFront, Route53</w:t>
            </w:r>
          </w:p>
        </w:tc>
        <w:tc>
          <w:tcPr>
            <w:tcW w:type="dxa" w:w="3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AWS sebagai cloud utama; Kubernetes untuk container orchestration; Lambda untuk event-driven architecture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Data Analytics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Apache Spark, AWS Glue, BigQuery, Apache Kafka, Grafana</w:t>
            </w:r>
          </w:p>
        </w:tc>
        <w:tc>
          <w:tcPr>
            <w:tcW w:type="dxa" w:w="3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Kafka untuk streaming data IoT; Spark untuk batch processing; Grafana untuk monitoring dashboard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DevOps &amp; CI/CD</w:t>
            </w:r>
          </w:p>
        </w:tc>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Docker, Kubernetes, Jenkins, GitHub Actions, Terraform, Prometheus</w:t>
            </w:r>
          </w:p>
        </w:tc>
        <w:tc>
          <w:tcPr>
            <w:tcW w:type="dxa" w:w="3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Infrastruktur as code; automated testing pipeline; monitoring dan alerting komprehensif</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Keamanan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AWS WAF, Let's Encrypt (TLS 1.3), AES-256, JWT RS256, HashiCorp Vault</w:t>
            </w:r>
          </w:p>
        </w:tc>
        <w:tc>
          <w:tcPr>
            <w:tcW w:type="dxa" w:w="3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Keamanan berlapis; enkripsi data at-rest dan in-transit; manajemen secrets terpusat</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r>
        <w:br w:type="page"/>
      </w:r>
    </w:p>
    <w:p>
      <w:pPr>
        <w:pStyle w:val="Heading1"/>
        <w:spacing w:after="80" w:before="0"/>
      </w:pPr>
      <w:r>
        <w:rPr>
          <w:rFonts w:ascii="Times New Roman" w:cs="Times New Roman" w:eastAsia="Times New Roman" w:hAnsi="Times New Roman"/>
          <w:b/>
          <w:bCs/>
          <w:i w:val="false"/>
          <w:iCs w:val="false"/>
          <w:caps w:val="false"/>
          <w:color w:val="1F3864"/>
          <w:sz w:val="32"/>
          <w:szCs w:val="32"/>
        </w:rPr>
        <w:t xml:space="preserve">BAB II</w:t>
      </w:r>
    </w:p>
    <w:p>
      <w:pPr>
        <w:pStyle w:val="Heading1"/>
        <w:spacing w:after="180" w:before="0"/>
      </w:pPr>
      <w:r>
        <w:rPr>
          <w:rFonts w:ascii="Times New Roman" w:cs="Times New Roman" w:eastAsia="Times New Roman" w:hAnsi="Times New Roman"/>
          <w:b/>
          <w:bCs/>
          <w:i w:val="false"/>
          <w:iCs w:val="false"/>
          <w:caps w:val="false"/>
          <w:color w:val="1F3864"/>
          <w:sz w:val="28"/>
          <w:szCs w:val="28"/>
        </w:rPr>
        <w:t xml:space="preserve">PERENCANAAN PROYEK</w:t>
      </w:r>
    </w:p>
    <w:p>
      <w:pPr>
        <w:pBdr>
          <w:bottom w:val="single" w:color="2E75B6" w:sz="6"/>
        </w:pBdr>
        <w:spacing w:after="300" w:before="0"/>
      </w:pP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F. Deskripsi Proyek</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Bagian ini menyajikan gambaran lengkap mengenai identitas proyek, lingkup pekerjaan, sumber daya yang dibutuhkan, analisis pemangku kepentingan, dan rencana anggaran biaya. Seluruh informasi disusun berdasarkan pendekatan manajemen proyek yang sistematis mengacu pada PMBOK® Guide Edisi ke-7 (PMI, 2021) dan adaptasi metodologi Agile-Scrum untuk lingkungan pengembangan perangkat lunak.</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7. Ringkasan Informasi Proyek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5137"/>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ATRIBUT PROYEK</w:t>
            </w:r>
          </w:p>
        </w:tc>
        <w:tc>
          <w:tcPr>
            <w:tcW w:type="dxa" w:w="51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KETERANGAN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Nama Proyek</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SISTRAS-KAN — Sistem Terpadu Rantai Pasok Kelautan dan Perikanan Cerdas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Sponsor Proyek</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Dinas Kelautan dan Perikanan Provinsi Sulawesi Selatan &amp; Kemenkomarves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Project Manager</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Venilia Dina Minarti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Metodologi</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Agile-Scrum Hybrid (Sprint 2 minggu, Phase Gate Review per fase)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Tanggal Mulai</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1 Juli 2026</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Tanggal Selesai</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31 Desember 2027</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Durasi Total</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18 Bulan (7 Fase)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Total Anggaran</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Rp 8.750.000.000,- (Delapan Miliar Tujuh Ratus Lima Puluh Juta Rupiah)</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Ukuran Tim</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45 Orang (6 Sub-Tim Fungsional)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Lokasi Pengembangan</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Makassar, Sulawesi Selatan (Kantor Pusat) + Remote Work</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Cakupan Geografis</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12 Pelabuhan Perikanan di Provinsi Sulawesi Selatan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Standar Kualitas</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ISO/IEC 25010 (Software Quality), ISO 9001:2015 (QMS)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Lisensi Produk</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Hak Kekayaan Intelektual milik Pemerintah Provinsi Sulawesi Selatan</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8. Analisis Pemangku Kepentingan (Stakeholder Analysis)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1737"/>
        <w:gridCol w:w="200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No.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Pemangku Kepentingan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Peran</w:t>
            </w:r>
          </w:p>
        </w:tc>
        <w:tc>
          <w:tcPr>
            <w:tcW w:type="dxa" w:w="17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Tingkat Pengaruh</w:t>
            </w:r>
          </w:p>
        </w:tc>
        <w:tc>
          <w:tcPr>
            <w:tcW w:type="dxa" w:w="2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Strategi Keterlibatan</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Dinas KP Prov. Sulawesi Selatan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Project Sponsor &amp; Regulator</w:t>
            </w:r>
          </w:p>
        </w:tc>
        <w:tc>
          <w:tcPr>
            <w:tcW w:type="dxa" w:w="173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C00000"/>
                <w:sz w:val="22"/>
                <w:szCs w:val="22"/>
              </w:rPr>
              <w:t xml:space="preserve">SANGAT TINGGI</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Monthly steering committee; dashboard akses penuh</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BKIPM Makassar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Mitra Integrasi Data</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API integration workshop; joint testing environment</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Nelayan (47.000 orang)</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End User Primer</w:t>
            </w:r>
          </w:p>
        </w:tc>
        <w:tc>
          <w:tcPr>
            <w:tcW w:type="dxa" w:w="173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FGD 3 bulanan; aplikasi mobile khusus nelayan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Pedagang Ikan (8.500 orang)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End User Sekunder</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70AD47"/>
                <w:sz w:val="22"/>
                <w:szCs w:val="22"/>
              </w:rPr>
              <w:t xml:space="preserve">SEDANG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Onboarding training; dedicated support hotline</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Eksportir Perikanan (120 perusahaan)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End User Bisnis</w:t>
            </w:r>
          </w:p>
        </w:tc>
        <w:tc>
          <w:tcPr>
            <w:tcW w:type="dxa" w:w="173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Portal B2B khusus; SLA guarantee 99.9% uptime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Kementerian KP RI</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Regulator Nasional</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Laporan bulanan; kepatuhan regulasi real-time</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BUMN / Bulog Perikanan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Mitra Offtaker</w:t>
            </w:r>
          </w:p>
        </w:tc>
        <w:tc>
          <w:tcPr>
            <w:tcW w:type="dxa" w:w="173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70AD47"/>
                <w:sz w:val="22"/>
                <w:szCs w:val="22"/>
              </w:rPr>
              <w:t xml:space="preserve">SEDANG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Integrasi supply chain platform; MoU distribution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Tim Pengembang Proyek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Pelaksana Teknis</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Agile ceremonies; OKR quarterly review</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9</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Bank / Lembaga Keuangan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Mitra Pembayaran</w:t>
            </w:r>
          </w:p>
        </w:tc>
        <w:tc>
          <w:tcPr>
            <w:tcW w:type="dxa" w:w="173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70AD47"/>
                <w:sz w:val="22"/>
                <w:szCs w:val="22"/>
              </w:rPr>
              <w:t xml:space="preserve">SEDANG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API payment gateway; KYC compliance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Masyarakat / Konsumen Akhir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Penerima Manfaat</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595959"/>
                <w:sz w:val="22"/>
                <w:szCs w:val="22"/>
              </w:rPr>
              <w:t xml:space="preserve">RENDAH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Transparansi harga di platform publik</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9. Rencana Anggaran Biaya (RAB) Proyek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737"/>
        <w:gridCol w:w="1600"/>
        <w:gridCol w:w="140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No.</w:t>
            </w:r>
          </w:p>
        </w:tc>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Komponen Biaya</w:t>
            </w:r>
          </w:p>
        </w:tc>
        <w:tc>
          <w:tcPr>
            <w:tcW w:type="dxa" w:w="17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Volume / Satuan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Harga Satuan (Rp)</w:t>
            </w:r>
          </w:p>
        </w:tc>
        <w:tc>
          <w:tcPr>
            <w:tcW w:type="dxa" w:w="1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Total (Rp)</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Sumber Daya Manusia (SDM) — 45 orang × 18 bulan</w:t>
            </w:r>
          </w:p>
        </w:tc>
        <w:tc>
          <w:tcPr>
            <w:tcW w:type="dxa" w:w="17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810 person-month</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7.000.000</w:t>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5.670.000.000</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Infrastruktur Cloud AWS (EC2, EKS, S3, SageMaker, dll.)</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18 bulan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50.000.000/bln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900.000.000</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Perangkat IoT (ESP32, Sensor, LoRaWAN Gateway — 12 pelabuhan)</w:t>
            </w:r>
          </w:p>
        </w:tc>
        <w:tc>
          <w:tcPr>
            <w:tcW w:type="dxa" w:w="17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120 unit paket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5.500.000/unit</w:t>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660.000.000</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Lisensi Software &amp; Tools (Atlassian, GitHub Enterprise, dll.)</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18 bulan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8.000.000/bln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144.000.000</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Infrastruktur Hyperledger Fabric (Ordering + Peer Nodes)</w:t>
            </w:r>
          </w:p>
        </w:tc>
        <w:tc>
          <w:tcPr>
            <w:tcW w:type="dxa" w:w="17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Lump sum</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180.000.000</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Program Pelatihan &amp; Pendampingan Nelayan</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12 gelombang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15.000.000/gel.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180.000.000</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Uji Keamanan (Penetration Testing) &amp; Sertifikasi ISO</w:t>
            </w:r>
          </w:p>
        </w:tc>
        <w:tc>
          <w:tcPr>
            <w:tcW w:type="dxa" w:w="17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 setahun</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25.000.000/sesi</w:t>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75.000.000</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Perjalanan Dinas &amp; Koordinasi Lapangan (12 pelabuhan)</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18 bulan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5.000.000/bln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90.000.000</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9</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Dokumentasi, Publikasi, dan Laporan Proyek</w:t>
            </w:r>
          </w:p>
        </w:tc>
        <w:tc>
          <w:tcPr>
            <w:tcW w:type="dxa" w:w="17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Lump sum</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51.000.000</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Contingency Reserve (10% total biaya)</w:t>
            </w:r>
          </w:p>
        </w:tc>
        <w:tc>
          <w:tcPr>
            <w:tcW w:type="dxa" w:w="17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val="false"/>
                <w:bCs w:val="false"/>
                <w:i w:val="false"/>
                <w:iCs w:val="false"/>
                <w:caps w:val="false"/>
                <w:color w:val="000000"/>
                <w:sz w:val="22"/>
                <w:szCs w:val="22"/>
              </w:rPr>
              <w:t xml:space="preserve">595.000.000</w:t>
            </w:r>
          </w:p>
        </w:tc>
      </w:tr>
      <w:tr>
        <w:tc>
          <w:tcPr>
            <w:tcW w:type="dxa" w:w="6737"/>
            <w:gridSpan w:val="4"/>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TOTAL ANGGARAN PROYEK</w:t>
            </w:r>
          </w:p>
        </w:tc>
        <w:tc>
          <w:tcPr>
            <w:tcW w:type="dxa" w:w="14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bCs/>
                <w:i w:val="false"/>
                <w:iCs w:val="false"/>
                <w:caps w:val="false"/>
                <w:color w:val="000000"/>
                <w:sz w:val="22"/>
                <w:szCs w:val="22"/>
              </w:rPr>
              <w:t xml:space="preserve">8.545.000.000</w:t>
            </w:r>
          </w:p>
        </w:tc>
      </w:tr>
      <w:tr>
        <w:tc>
          <w:tcPr>
            <w:tcW w:type="dxa" w:w="6737"/>
            <w:gridSpan w:val="4"/>
            <w:tcBorders>
              <w:top w:val="single" w:color="AAAAAA" w:sz="1"/>
              <w:left w:val="single" w:color="AAAAAA" w:sz="1"/>
              <w:bottom w:val="single" w:color="AAAAAA" w:sz="1"/>
              <w:right w:val="single" w:color="AAAAAA" w:sz="1"/>
            </w:tcBorders>
            <w:shd w:fill="365F91"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MANAGEMENT RESERVE (2.5%)</w:t>
            </w:r>
          </w:p>
        </w:tc>
        <w:tc>
          <w:tcPr>
            <w:tcW w:type="dxa" w:w="14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bCs/>
                <w:i w:val="false"/>
                <w:iCs w:val="false"/>
                <w:caps w:val="false"/>
                <w:color w:val="000000"/>
                <w:sz w:val="22"/>
                <w:szCs w:val="22"/>
              </w:rPr>
              <w:t xml:space="preserve">205.000.000</w:t>
            </w:r>
          </w:p>
        </w:tc>
      </w:tr>
      <w:tr>
        <w:tc>
          <w:tcPr>
            <w:tcW w:type="dxa" w:w="6737"/>
            <w:gridSpan w:val="4"/>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TOTAL ANGGARAN TERMASUK CADANGAN</w:t>
            </w:r>
          </w:p>
        </w:tc>
        <w:tc>
          <w:tcPr>
            <w:tcW w:type="dxa" w:w="14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0" w:before="0"/>
              <w:jc w:val="right"/>
            </w:pPr>
            <w:r>
              <w:rPr>
                <w:rFonts w:ascii="Times New Roman" w:cs="Times New Roman" w:eastAsia="Times New Roman" w:hAnsi="Times New Roman"/>
                <w:b/>
                <w:bCs/>
                <w:i w:val="false"/>
                <w:iCs w:val="false"/>
                <w:caps w:val="false"/>
                <w:color w:val="FFFFFF"/>
                <w:sz w:val="22"/>
                <w:szCs w:val="22"/>
              </w:rPr>
              <w:t xml:space="preserve">8.750.000.000</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10. Struktur Tim Proyek SISTRAS-KAN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137"/>
        <w:gridCol w:w="1800"/>
        <w:gridCol w:w="160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No.</w:t>
            </w:r>
          </w:p>
        </w:tc>
        <w:tc>
          <w:tcPr>
            <w:tcW w:type="dxa" w:w="2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Sub-Tim</w:t>
            </w:r>
          </w:p>
        </w:tc>
        <w:tc>
          <w:tcPr>
            <w:tcW w:type="dxa" w:w="21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Komposisi Peran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Jumlah SDM</w:t>
            </w:r>
          </w:p>
        </w:tc>
        <w:tc>
          <w:tcPr>
            <w:tcW w:type="dxa" w:w="16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Teknologi Utama</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Project Management Office (PMO)</w:t>
            </w:r>
          </w:p>
        </w:tc>
        <w:tc>
          <w:tcPr>
            <w:tcW w:type="dxa" w:w="2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Project Manager, Business Analyst, QA Lead, Scrum Master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 orang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Jira, Confluence, MS Project</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Frontend &amp; Mobile</w:t>
            </w:r>
          </w:p>
        </w:tc>
        <w:tc>
          <w:tcPr>
            <w:tcW w:type="dxa" w:w="2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Senior Frontend Dev ×2, Mobile Dev ×2, UI/UX Designer ×2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 orang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React.js, React Native, Figma</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Backend &amp; API</w:t>
            </w:r>
          </w:p>
        </w:tc>
        <w:tc>
          <w:tcPr>
            <w:tcW w:type="dxa" w:w="2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Backend Lead, Senior BE Dev ×3, API Architect, DevOps ×2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 orang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Node.js, FastAPI, Docker, K8s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AI / Machine Learning</w:t>
            </w:r>
          </w:p>
        </w:tc>
        <w:tc>
          <w:tcPr>
            <w:tcW w:type="dxa" w:w="2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ML Engineer Lead, Data Scientist ×3, MLOps Engineer, Data Eng. ×2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 orang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Python, TensorFlow, SageMaker</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Blockchain &amp; IoT</w:t>
            </w:r>
          </w:p>
        </w:tc>
        <w:tc>
          <w:tcPr>
            <w:tcW w:type="dxa" w:w="2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Blockchain Architect, Chaincode Dev ×2, IoT Engineer ×3, Firmware Dev</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 orang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Hyperledger Fabric, Arduino</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Data &amp; Analytics</w:t>
            </w:r>
          </w:p>
        </w:tc>
        <w:tc>
          <w:tcPr>
            <w:tcW w:type="dxa" w:w="2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Data Architect, Database Admin ×2, Analytics Engineer ×2, BI Dev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 orang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PostgreSQL, Kafka, Grafana</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QA &amp; Security</w:t>
            </w:r>
          </w:p>
        </w:tc>
        <w:tc>
          <w:tcPr>
            <w:tcW w:type="dxa" w:w="2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QA Engineer ×3, Security Engineer ×2, Test Automation Dev</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 orang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Selenium, OWASP, Burp Suite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Training &amp; Change Mgmt</w:t>
            </w:r>
          </w:p>
        </w:tc>
        <w:tc>
          <w:tcPr>
            <w:tcW w:type="dxa" w:w="2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Training Coordinator, Field Officer ×6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 orang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iCs/>
                <w:caps w:val="false"/>
                <w:color w:val="000000"/>
                <w:sz w:val="22"/>
                <w:szCs w:val="22"/>
              </w:rPr>
              <w:t xml:space="preserve">LMS Platform, Video Tutorial</w:t>
            </w:r>
          </w:p>
        </w:tc>
      </w:tr>
      <w:tr>
        <w:tc>
          <w:tcPr>
            <w:tcW w:type="dxa" w:w="6337"/>
            <w:gridSpan w:val="4"/>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TOTAL TIM PROYEK</w:t>
            </w:r>
          </w:p>
        </w:tc>
        <w:tc>
          <w:tcPr>
            <w:tcW w:type="dxa" w:w="16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45 orang</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G. Perencanaan Aktivitas Secara Global</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Perencanaan aktivitas proyek SISTRAS-KAN disusun menggunakan Work Breakdown Structure (WBS) yang membagi proyek ke dalam 7 fase besar dengan 42 paket pekerjaan (work packages). Pendekatan hybrid Agile-Waterfall digunakan di mana fase inisiasi, analisis, dan penutupan mengikuti pendekatan waterfall, sementara fase pengembangan menggunakan sprint Agile 2 mingguan.</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11. Work Breakdown Structure (WBS) SISTRAS-KAN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900"/>
        <w:gridCol w:w="700"/>
        <w:gridCol w:w="1437"/>
        <w:gridCol w:w="2000"/>
      </w:tblGrid>
      <w:tr>
        <w:tc>
          <w:tcPr>
            <w:tcW w:type="dxa" w:w="7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WBS ID</w:t>
            </w:r>
          </w:p>
        </w:tc>
        <w:tc>
          <w:tcPr>
            <w:tcW w:type="dxa" w:w="23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Nama Aktivitas / Work Package</w:t>
            </w:r>
          </w:p>
        </w:tc>
        <w:tc>
          <w:tcPr>
            <w:tcW w:type="dxa" w:w="9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Jadwal</w:t>
            </w:r>
          </w:p>
        </w:tc>
        <w:tc>
          <w:tcPr>
            <w:tcW w:type="dxa" w:w="7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Durasi (Bln)</w:t>
            </w:r>
          </w:p>
        </w:tc>
        <w:tc>
          <w:tcPr>
            <w:tcW w:type="dxa" w:w="14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Penanggung Jawab</w:t>
            </w:r>
          </w:p>
        </w:tc>
        <w:tc>
          <w:tcPr>
            <w:tcW w:type="dxa" w:w="2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Deliverable Utama</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1.0</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INISIASI &amp; PERENCANAAN</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1–2</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PMO + Semua Tim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Kick-off, Project Charter, Stakeholder Register, Risk Assessment Awal, WBS, Resource Plan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Project Charter &amp; Kick-off Meeting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0.5</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PMO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Formalisasi proyek; pertemuan perdana seluruh stakeholder</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1.2</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Stakeholder Analysis &amp; Register</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0.5</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PMO</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Identifikasi dan pemetaan kepentingan seluruh pemangku kepentingan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1.3</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Detailed Project Planning &amp; Scheduling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1–2</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PMO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WBS detail, Gantt Chart, resource leveling, budget allocation</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1.4</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Risk &amp; Quality Management Plan</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2</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PMO + QA</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Risk register awal; quality plan berbasis ISO/IEC 25010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2.0</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ANALISIS &amp; DESAIN SISTEM</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2–5</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BA + UI/UX + Arsitek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BRD, SRS, ERD, Wireframe, Arsitektur Teknis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2.1</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Business Requirements Document (BRD)</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2–3</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Business Analyst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Elicitasi kebutuhan bisnis dari seluruh stakeholder via FGD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2.2</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System Requirements Specification (SRS)</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3–4</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BA + Arsitek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Spesifikasi kebutuhan fungsional dan non-fungsional</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2.3</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UI/UX Design &amp; Prototyping</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3–4</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UI/UX + Frontend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Wireframe, mockup, interactive prototype (Figma); user testing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2.4</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Technical Architecture Design</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4–5</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Arsitek + Tim Teknis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System design doc, ERD, API contracts, deployment diagram</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3.0</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PENGEMBANGAN PLATFORM INTI</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5–10</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6</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Backend + Frontend + DB</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Core API, Database, Authentication, Dashboard, Marketplace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Database Design &amp; Infrastructure Setup</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5</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DB Admin + DevOps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Setup AWS infra; schema DB PostgreSQL &amp; MongoDB; Redis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3.2</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Backend API Development (Microservices)</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5–9</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5</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Backend Tim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12 microservices; REST API; gRPC; API Gateway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3.3</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Frontend Web Dashboard Development</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6–9</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Frontend Tim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React.js dashboard analitik; 45+ komponen UI</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3.4</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Mobile Application Development</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6–9</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Mobile Tim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React Native app nelayan; offline-first; iOS &amp; Android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3.5</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CI/CD Pipeline &amp; DevOps Setup</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5–6</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DevOps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Jenkins; Docker; Kubernetes EKS; automated testing</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4.0</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INTEGRASI IoT &amp; BLOCKCHAIN</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9–14</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6</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IoT + Blockchain + Backend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Smart Contract, IoT Device, LoRaWAN, BKIPM API</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IoT Hardware Assembly &amp; Firmware Dev</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9–11</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IoT Tim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Assembly 120 unit IoT; firmware ESP32; testing lab</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4.2</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LoRaWAN Gateway Setup (12 Pelabuhan)</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10–12</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IoT + Field Officer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Pemasangan 12 gateway LoRaWAN di pelabuhan target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4.3</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Hyperledger Fabric Network Setup</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9–10</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Blockchain Arsitek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Setup 6 org + ordering service; channel configuration</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4.4</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Chaincode (Smart Contract) Development</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10–12</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Blockchain Dev</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Traceability chaincode; testing; endorsement policy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4.5</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BKIPM &amp; KKP API Integration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12–14</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Backend + BA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REST API adapter; sandbox testing; UAT dengan BKIPM</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5.0</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PENGUJIAN &amp; QUALITY ASSURANCE</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14–16</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QA + Security + Semua Tim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Unit Test, Integration Test, UAT, Pen Test, Performance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5.1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Unit Testing &amp; Integration Testing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14–15</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QA Tim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Coverage &gt; 85%; 2.400+ test cases; automated regression</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5.2</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User Acceptance Testing (UAT)</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15</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QA + Stakeholder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UAT dengan 200 nelayan pilot; skenario real-world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5.3</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Security &amp; Penetration Testing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15</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Security Eng.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OWASP Top 10; VAPT report; remediasi kerentanan kritis</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5.4</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Performance &amp; Load Testing</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16</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QA + DevOps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Simulasi 10.000 concurrent users; stress test IoT streams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6.0</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DEPLOYMENT &amp; GO-LIVE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16–18</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DevOps + PMO + Training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Production Deploy, Pelatihan, Soft Launch, Go-Live</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6.1</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Production Environment Deployment</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16</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DevOps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Blue-green deployment; rollback plan; monitoring setup</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6.2</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End-User Training Program</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16–17</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Training Tim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12 gelombang pelatihan; 3.500 nelayan pilot; modul e-learning</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6.3</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Soft Launch &amp; Pilot Program</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17</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Semua Tim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Pilot 3 pelabuhan; monitoring intensif; bug fixing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6.4</w:t>
            </w:r>
          </w:p>
        </w:tc>
        <w:tc>
          <w:tcPr>
            <w:tcW w:type="dxa" w:w="2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  Full Go-Live (12 Pelabuhan)</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18</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Semua Tim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Go-live resmi; press conference; monitoring 24/7</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7.0</w:t>
            </w:r>
          </w:p>
        </w:tc>
        <w:tc>
          <w:tcPr>
            <w:tcW w:type="dxa" w:w="23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MONITORING &amp; PENUTUPAN PROYEK</w:t>
            </w:r>
          </w:p>
        </w:tc>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Bln 18</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4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PMO + Semua Tim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20"/>
                <w:szCs w:val="20"/>
              </w:rPr>
              <w:t xml:space="preserve">Lessons Learned, Dokumentasi Akhir, Project Closure Report</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Gantt Chart berikut merepresentasikan perencanaan jadwal aktivitas secara global dalam horizon 18 bulan. Warna biru (■) menandakan periode aktif sebuah aktivitas berlangsung:</w:t>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12. Perencanaan Aktivitas Secara Global — Gantt Chart (Warna Biru = Aktif, Emas = Milestone)</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1777"/>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ID</w:t>
            </w:r>
          </w:p>
        </w:tc>
        <w:tc>
          <w:tcPr>
            <w:tcW w:type="dxa" w:w="177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Fase / Aktivitas</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2</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3</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4</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5</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6</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7</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8</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9</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10</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11</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12</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13</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14</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15</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16</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17</w:t>
            </w:r>
          </w:p>
        </w:tc>
        <w:tc>
          <w:tcPr>
            <w:tcW w:type="dxa" w:w="3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18</w:t>
            </w:r>
          </w:p>
        </w:tc>
      </w:tr>
      <w:tr>
        <w:tc>
          <w:tcPr>
            <w:tcW w:type="dxa" w:w="4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
            </w:r>
          </w:p>
        </w:tc>
        <w:tc>
          <w:tcPr>
            <w:tcW w:type="dxa" w:w="1777"/>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Bulan ke-</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B2</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B3</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B4</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B5</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B6</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B7</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B8</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B9</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B10</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B11</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B12</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B13</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B14</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B15</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B16</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B17</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jc w:val="center"/>
            </w:pPr>
            <w:r>
              <w:rPr>
                <w:rFonts w:ascii="Times New Roman" w:cs="Times New Roman" w:eastAsia="Times New Roman" w:hAnsi="Times New Roman"/>
                <w:b/>
                <w:bCs/>
                <w:i w:val="false"/>
                <w:iCs w:val="false"/>
                <w:caps w:val="false"/>
                <w:color w:val="FFFFFF"/>
                <w:sz w:val="14"/>
                <w:szCs w:val="14"/>
              </w:rPr>
              <w:t xml:space="preserve">B18</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bCs/>
                <w:i w:val="false"/>
                <w:iCs w:val="false"/>
                <w:caps w:val="false"/>
                <w:color w:val="000000"/>
                <w:sz w:val="18"/>
                <w:szCs w:val="18"/>
              </w:rPr>
              <w:t xml:space="preserve">1.0</w:t>
            </w:r>
          </w:p>
        </w:tc>
        <w:tc>
          <w:tcPr>
            <w:tcW w:type="dxa" w:w="177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18"/>
                <w:szCs w:val="18"/>
              </w:rPr>
              <w:t xml:space="preserve">Inisiasi &amp; Perencanaan</w:t>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bCs/>
                <w:i w:val="false"/>
                <w:iCs w:val="false"/>
                <w:caps w:val="false"/>
                <w:color w:val="000000"/>
                <w:sz w:val="18"/>
                <w:szCs w:val="18"/>
              </w:rPr>
              <w:t xml:space="preserve">2.0</w:t>
            </w:r>
          </w:p>
        </w:tc>
        <w:tc>
          <w:tcPr>
            <w:tcW w:type="dxa" w:w="177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18"/>
                <w:szCs w:val="18"/>
              </w:rPr>
              <w:t xml:space="preserve">Analisis &amp; Desain Sistem</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bCs/>
                <w:i w:val="false"/>
                <w:iCs w:val="false"/>
                <w:caps w:val="false"/>
                <w:color w:val="000000"/>
                <w:sz w:val="18"/>
                <w:szCs w:val="18"/>
              </w:rPr>
              <w:t xml:space="preserve">3.0</w:t>
            </w:r>
          </w:p>
        </w:tc>
        <w:tc>
          <w:tcPr>
            <w:tcW w:type="dxa" w:w="177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18"/>
                <w:szCs w:val="18"/>
              </w:rPr>
              <w:t xml:space="preserve">Pengembangan Platform Inti</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bCs/>
                <w:i w:val="false"/>
                <w:iCs w:val="false"/>
                <w:caps w:val="false"/>
                <w:color w:val="000000"/>
                <w:sz w:val="18"/>
                <w:szCs w:val="18"/>
              </w:rPr>
              <w:t xml:space="preserve">4.0</w:t>
            </w:r>
          </w:p>
        </w:tc>
        <w:tc>
          <w:tcPr>
            <w:tcW w:type="dxa" w:w="177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18"/>
                <w:szCs w:val="18"/>
              </w:rPr>
              <w:t xml:space="preserve">Integrasi IoT &amp; Blockchain</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bCs/>
                <w:i w:val="false"/>
                <w:iCs w:val="false"/>
                <w:caps w:val="false"/>
                <w:color w:val="000000"/>
                <w:sz w:val="18"/>
                <w:szCs w:val="18"/>
              </w:rPr>
              <w:t xml:space="preserve">5.0</w:t>
            </w:r>
          </w:p>
        </w:tc>
        <w:tc>
          <w:tcPr>
            <w:tcW w:type="dxa" w:w="177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18"/>
                <w:szCs w:val="18"/>
              </w:rPr>
              <w:t xml:space="preserve">Pengujian &amp; Quality Assurance</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18"/>
                <w:szCs w:val="18"/>
              </w:rPr>
              <w:t xml:space="preserve">6.0</w:t>
            </w:r>
          </w:p>
        </w:tc>
        <w:tc>
          <w:tcPr>
            <w:tcW w:type="dxa" w:w="177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iCs/>
                <w:caps w:val="false"/>
                <w:color w:val="000000"/>
                <w:sz w:val="18"/>
                <w:szCs w:val="18"/>
              </w:rPr>
              <w:t xml:space="preserve">Deployment &amp; Go-Live</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F4B942"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F4B942"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F4B942"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bCs/>
                <w:i w:val="false"/>
                <w:iCs w:val="false"/>
                <w:caps w:val="false"/>
                <w:color w:val="000000"/>
                <w:sz w:val="18"/>
                <w:szCs w:val="18"/>
              </w:rPr>
              <w:t xml:space="preserve">7.0</w:t>
            </w:r>
          </w:p>
        </w:tc>
        <w:tc>
          <w:tcPr>
            <w:tcW w:type="dxa" w:w="177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val="false"/>
                <w:iCs w:val="false"/>
                <w:caps w:val="false"/>
                <w:color w:val="000000"/>
                <w:sz w:val="18"/>
                <w:szCs w:val="18"/>
              </w:rPr>
              <w:t xml:space="preserve">Monitoring &amp; Penutupan</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2E75B6"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77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iCs/>
                <w:caps w:val="false"/>
                <w:color w:val="000000"/>
                <w:sz w:val="18"/>
                <w:szCs w:val="18"/>
              </w:rPr>
              <w:t xml:space="preserve">Review &amp; Milestone Gate</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F4B942"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77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iCs/>
                <w:caps w:val="false"/>
                <w:color w:val="000000"/>
                <w:sz w:val="18"/>
                <w:szCs w:val="18"/>
              </w:rPr>
              <w:t xml:space="preserve">Review &amp; Milestone Gate</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F4B942"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77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iCs/>
                <w:caps w:val="false"/>
                <w:color w:val="000000"/>
                <w:sz w:val="18"/>
                <w:szCs w:val="18"/>
              </w:rPr>
              <w:t xml:space="preserve">Review &amp; Milestone Gate</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F4B942"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77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iCs/>
                <w:caps w:val="false"/>
                <w:color w:val="000000"/>
                <w:sz w:val="18"/>
                <w:szCs w:val="18"/>
              </w:rPr>
              <w:t xml:space="preserve">Review &amp; Milestone Gate</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F4B942"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77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Times New Roman" w:cs="Times New Roman" w:eastAsia="Times New Roman" w:hAnsi="Times New Roman"/>
                <w:b w:val="false"/>
                <w:bCs w:val="false"/>
                <w:i/>
                <w:iCs/>
                <w:caps w:val="false"/>
                <w:color w:val="000000"/>
                <w:sz w:val="18"/>
                <w:szCs w:val="18"/>
              </w:rPr>
              <w:t xml:space="preserve">Go-Live</w:t>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c>
          <w:tcPr>
            <w:tcW w:type="dxa" w:w="320"/>
            <w:tcBorders>
              <w:top w:val="single" w:color="AAAAAA" w:sz="1"/>
              <w:left w:val="single" w:color="AAAAAA" w:sz="1"/>
              <w:bottom w:val="single" w:color="AAAAAA" w:sz="1"/>
              <w:right w:val="single" w:color="AAAAAA" w:sz="1"/>
            </w:tcBorders>
            <w:shd w:fill="F4B942" w:val="clear"/>
            <w:tcMar>
              <w:top w:type="dxa" w:w="40"/>
              <w:left w:type="dxa" w:w="20"/>
              <w:bottom w:type="dxa" w:w="40"/>
              <w:right w:type="dxa" w:w="20"/>
            </w:tcMar>
          </w:tcPr>
          <w:p>
            <w:pPr>
              <w:spacing w:after="0" w:before="0"/>
            </w:pPr>
            <w:r>
              <w:rPr>
                <w:rFonts w:ascii="Times New Roman" w:cs="Times New Roman" w:eastAsia="Times New Roman" w:hAnsi="Times New Roman"/>
                <w:b w:val="false"/>
                <w:bCs w:val="false"/>
                <w:i w:val="false"/>
                <w:iCs w:val="false"/>
                <w:caps w:val="false"/>
                <w:color w:val="000000"/>
                <w:sz w:val="16"/>
                <w:szCs w:val="16"/>
              </w:rPr>
              <w:t xml:space="preserve"/>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r>
        <w:br w:type="page"/>
      </w:r>
    </w:p>
    <w:p>
      <w:pPr>
        <w:pStyle w:val="Heading1"/>
        <w:spacing w:after="80" w:before="0"/>
      </w:pPr>
      <w:r>
        <w:rPr>
          <w:rFonts w:ascii="Times New Roman" w:cs="Times New Roman" w:eastAsia="Times New Roman" w:hAnsi="Times New Roman"/>
          <w:b/>
          <w:bCs/>
          <w:i w:val="false"/>
          <w:iCs w:val="false"/>
          <w:caps w:val="false"/>
          <w:color w:val="1F3864"/>
          <w:sz w:val="32"/>
          <w:szCs w:val="32"/>
        </w:rPr>
        <w:t xml:space="preserve">BAB III</w:t>
      </w:r>
    </w:p>
    <w:p>
      <w:pPr>
        <w:pStyle w:val="Heading1"/>
        <w:spacing w:after="180" w:before="0"/>
      </w:pPr>
      <w:r>
        <w:rPr>
          <w:rFonts w:ascii="Times New Roman" w:cs="Times New Roman" w:eastAsia="Times New Roman" w:hAnsi="Times New Roman"/>
          <w:b/>
          <w:bCs/>
          <w:i w:val="false"/>
          <w:iCs w:val="false"/>
          <w:caps w:val="false"/>
          <w:color w:val="1F3864"/>
          <w:sz w:val="28"/>
          <w:szCs w:val="28"/>
        </w:rPr>
        <w:t xml:space="preserve">MANAJEMEN RISIKO, BATASAN, DAN ASUMSI</w:t>
      </w:r>
    </w:p>
    <w:p>
      <w:pPr>
        <w:pBdr>
          <w:bottom w:val="single" w:color="2E75B6" w:sz="6"/>
        </w:pBdr>
        <w:spacing w:after="300" w:before="0"/>
      </w:pP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H. Batasan</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Batasan proyek (project constraints) merupakan faktor-faktor pembatas yang membingkai ruang gerak tim proyek. Identifikasi batasan secara eksplisit penting untuk menghindari scope creep dan menetapkan ekspektasi yang realistis bagi seluruh pemangku kepentingan (Schwalbe, 2019):</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13. Daftar Batasan (Constraints) Proyek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5137"/>
      </w:tblGrid>
      <w:tr>
        <w:tc>
          <w:tcPr>
            <w:tcW w:type="dxa" w:w="16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Dimensi Batasan</w:t>
            </w:r>
          </w:p>
        </w:tc>
        <w:tc>
          <w:tcPr>
            <w:tcW w:type="dxa" w:w="12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Kategori</w:t>
            </w:r>
          </w:p>
        </w:tc>
        <w:tc>
          <w:tcPr>
            <w:tcW w:type="dxa" w:w="51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Deskripsi Batasan</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Ruang Lingkup (Scope)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SCOPE</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Platform SISTRAS-KAN hanya mencakup 12 pelabuhan perikanan utama di Provinsi Sulawesi Selatan. Integrasi ke provinsi lain di luar lingkup proyek ini dan menjadi roadmap fase berikutnya.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Waktu (Time)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TIME</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Proyek harus diselesaikan dalam 18 bulan kalender (1 Juli 2026 – 31 Desember 2027). Perpanjangan waktu hanya dimungkinkan apabila mendapat persetujuan tertulis dari Steering Committee dan sponsor proyek.</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Anggaran (Cost)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COST</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Total anggaran tidak boleh melebihi Rp 8.750.000.000,-. Penggunaan management reserve (Rp 205 juta) harus mendapat persetujuan Project Sponsor. Contingency reserve dikelola oleh Project Manager.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Sumber Daya Manusia</w:t>
            </w:r>
          </w:p>
        </w:tc>
        <w:tc>
          <w:tcPr>
            <w:tcW w:type="dxa" w:w="12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RESOURCE</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Tim proyek dibatasi 45 orang; penambahan anggota tim di luar angka ini membutuhkan revisi Resource Management Plan dan persetujuan PMO. Outsourcing diperbolehkan hanya untuk testing keamanan.</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Teknologi</w:t>
            </w:r>
          </w:p>
        </w:tc>
        <w:tc>
          <w:tcPr>
            <w:tcW w:type="dxa" w:w="1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TECH</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Stack teknologi yang digunakan mengacu pada dokumen Technical Architecture Design (Versi Final). Perubahan stack teknologi di tengah proyek (mid-project) tidak diizinkan kecuali melalui Change Control Board.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Regulasi &amp; Kepatuhan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LEGAL</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Seluruh data pengguna wajib dikelola sesuai UU No. 27 Tahun 2022 tentang Perlindungan Data Pribadi (UU PDP). Produk blockchain harus memenuhi standar BSSN untuk keamanan sistem informasi pemerintah.</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Konektivitas IoT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TECH</w:t>
            </w:r>
          </w:p>
        </w:tc>
        <w:tc>
          <w:tcPr>
            <w:tcW w:type="dxa" w:w="51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IoT device wajib mendukung mode LoRaWAN (fallback offline) mengingat keterbatasan jaringan 4G di zona perairan tertentu. Tidak ada investasi infrastruktur jaringan baru di luar scope ini.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bCs/>
                <w:i w:val="false"/>
                <w:iCs w:val="false"/>
                <w:caps w:val="false"/>
                <w:color w:val="000000"/>
                <w:sz w:val="22"/>
                <w:szCs w:val="22"/>
              </w:rPr>
              <w:t xml:space="preserve">Bahasa Antarmuka</w:t>
            </w:r>
          </w:p>
        </w:tc>
        <w:tc>
          <w:tcPr>
            <w:tcW w:type="dxa" w:w="12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SCOPE</w:t>
            </w:r>
          </w:p>
        </w:tc>
        <w:tc>
          <w:tcPr>
            <w:tcW w:type="dxa" w:w="51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Antarmuka utama dalam Bahasa Indonesia. Versi Bahasa Inggris untuk portal ekspor hanya dikembangkan jika ada kebutuhan tambahan dari sponsor dengan budget tambahan terpisah.</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I. Risiko</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Manajemen risiko proyek SISTRAS-KAN dilaksanakan mengacu pada PMBOK® Guide Edisi 7 dengan proses identifikasi, analisis kualitatif, perencanaan respons, dan pemantauan risiko secara berkelanjutan. Identifikasi awal menghasilkan 12 risiko utama yang diklasifikasikan berdasarkan kemungkinan (Probability) dan dampak (Impact) menggunakan skala 1–5:</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14. Risk Register Proyek SISTRAS-KAN (P = Probability 1–5, I = Impact 1–5)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50"/>
        <w:gridCol w:w="900"/>
        <w:gridCol w:w="2287"/>
        <w:gridCol w:w="600"/>
        <w:gridCol w:w="600"/>
        <w:gridCol w:w="600"/>
        <w:gridCol w:w="700"/>
        <w:gridCol w:w="1700"/>
      </w:tblGrid>
      <w:tr>
        <w:tc>
          <w:tcPr>
            <w:tcW w:type="dxa" w:w="55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ID</w:t>
            </w:r>
          </w:p>
        </w:tc>
        <w:tc>
          <w:tcPr>
            <w:tcW w:type="dxa" w:w="9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Kategori</w:t>
            </w:r>
          </w:p>
        </w:tc>
        <w:tc>
          <w:tcPr>
            <w:tcW w:type="dxa" w:w="228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Deskripsi Risiko</w:t>
            </w:r>
          </w:p>
        </w:tc>
        <w:tc>
          <w:tcPr>
            <w:tcW w:type="dxa" w:w="6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P</w:t>
            </w:r>
          </w:p>
        </w:tc>
        <w:tc>
          <w:tcPr>
            <w:tcW w:type="dxa" w:w="6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I</w:t>
            </w:r>
          </w:p>
        </w:tc>
        <w:tc>
          <w:tcPr>
            <w:tcW w:type="dxa" w:w="6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P×I</w:t>
            </w:r>
          </w:p>
        </w:tc>
        <w:tc>
          <w:tcPr>
            <w:tcW w:type="dxa" w:w="7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Level</w:t>
            </w:r>
          </w:p>
        </w:tc>
        <w:tc>
          <w:tcPr>
            <w:tcW w:type="dxa" w:w="17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Strategi Respons</w:t>
            </w:r>
          </w:p>
        </w:tc>
      </w:tr>
      <w:tr>
        <w:tc>
          <w:tcPr>
            <w:tcW w:type="dxa" w:w="55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R-01</w:t>
            </w:r>
          </w:p>
        </w:tc>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TEKNIS</w:t>
            </w:r>
          </w:p>
        </w:tc>
        <w:tc>
          <w:tcPr>
            <w:tcW w:type="dxa" w:w="228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Kegagalan perangkat IoT akibat kondisi lingkungan laut (korosi, air, garam, panas ekstrem)</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20</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C00000"/>
                <w:sz w:val="22"/>
                <w:szCs w:val="22"/>
              </w:rPr>
              <w:t xml:space="preserve">KRITIS</w:t>
            </w:r>
          </w:p>
        </w:tc>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Gunakan perangkat marine-grade IP67; 20% unit cadangan; preventive maintenance 3 bulanan</w:t>
            </w:r>
          </w:p>
        </w:tc>
      </w:tr>
      <w:tr>
        <w:tc>
          <w:tcPr>
            <w:tcW w:type="dxa" w:w="5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R-02</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ADOPSI</w:t>
            </w:r>
          </w:p>
        </w:tc>
        <w:tc>
          <w:tcPr>
            <w:tcW w:type="dxa" w:w="228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Resistensi nelayan terhadap adopsi teknologi baru (literasi digital rendah)</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16</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Program pelatihan intensif berbasis gambar/audio; field officer pendamping 1:50 nelayan</w:t>
            </w:r>
          </w:p>
        </w:tc>
      </w:tr>
      <w:tr>
        <w:tc>
          <w:tcPr>
            <w:tcW w:type="dxa" w:w="55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R-03</w:t>
            </w:r>
          </w:p>
        </w:tc>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INFRASTRUKTUR</w:t>
            </w:r>
          </w:p>
        </w:tc>
        <w:tc>
          <w:tcPr>
            <w:tcW w:type="dxa" w:w="228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Keterbatasan jaringan 4G/5G di zona penangkapan ikan tertentu</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12</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LoRaWAN sebagai jaringan fallback; koordinasi dengan Telkomsel untuk coverage boost</w:t>
            </w:r>
          </w:p>
        </w:tc>
      </w:tr>
      <w:tr>
        <w:tc>
          <w:tcPr>
            <w:tcW w:type="dxa" w:w="5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R-04</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TEKNIS</w:t>
            </w:r>
          </w:p>
        </w:tc>
        <w:tc>
          <w:tcPr>
            <w:tcW w:type="dxa" w:w="228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Kerentanan keamanan siber pada infrastruktur cloud dan blockchain</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10</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VAPT berkala; AWS Shield; WAF; enkripsi AES-256; bug bounty program</w:t>
            </w:r>
          </w:p>
        </w:tc>
      </w:tr>
      <w:tr>
        <w:tc>
          <w:tcPr>
            <w:tcW w:type="dxa" w:w="55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R-05</w:t>
            </w:r>
          </w:p>
        </w:tc>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INTEGRASI</w:t>
            </w:r>
          </w:p>
        </w:tc>
        <w:tc>
          <w:tcPr>
            <w:tcW w:type="dxa" w:w="228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API BKIPM tidak kompatibel atau tidak stabil selama fase integrasi</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12</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Sandbox testing 2 bulan sebelumnya; fallback mode manual upload; SLA agreement dengan BKIPM</w:t>
            </w:r>
          </w:p>
        </w:tc>
      </w:tr>
      <w:tr>
        <w:tc>
          <w:tcPr>
            <w:tcW w:type="dxa" w:w="5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R-06</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ANGGARAN</w:t>
            </w:r>
          </w:p>
        </w:tc>
        <w:tc>
          <w:tcPr>
            <w:tcW w:type="dxa" w:w="228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Pembengkakan biaya melebihi estimasi akibat fluktuasi kurs USD (komponen cloud &amp; lisensi)</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9</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70AD47"/>
                <w:sz w:val="22"/>
                <w:szCs w:val="22"/>
              </w:rPr>
              <w:t xml:space="preserve">SEDANG</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Kontrak harga tetap (fixed-price) dengan AWS; buffer 15% contingency reserve</w:t>
            </w:r>
          </w:p>
        </w:tc>
      </w:tr>
      <w:tr>
        <w:tc>
          <w:tcPr>
            <w:tcW w:type="dxa" w:w="55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R-07</w:t>
            </w:r>
          </w:p>
        </w:tc>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SDM</w:t>
            </w:r>
          </w:p>
        </w:tc>
        <w:tc>
          <w:tcPr>
            <w:tcW w:type="dxa" w:w="228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Turnover sumber daya manusia kritis (key person dependency)</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12</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ED7D31"/>
                <w:sz w:val="22"/>
                <w:szCs w:val="22"/>
              </w:rPr>
              <w:t xml:space="preserve">TINGGI</w:t>
            </w:r>
          </w:p>
        </w:tc>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Knowledge transfer wajib; dokumentasi teknis komprehensif; retention bonus 6 bulanan</w:t>
            </w:r>
          </w:p>
        </w:tc>
      </w:tr>
      <w:tr>
        <w:tc>
          <w:tcPr>
            <w:tcW w:type="dxa" w:w="5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R-08</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REGULASI</w:t>
            </w:r>
          </w:p>
        </w:tc>
        <w:tc>
          <w:tcPr>
            <w:tcW w:type="dxa" w:w="228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Perubahan regulasi PDP atau kebijakan KKP yang mempengaruhi desain sistem</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8</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70AD47"/>
                <w:sz w:val="22"/>
                <w:szCs w:val="22"/>
              </w:rPr>
              <w:t xml:space="preserve">SEDANG</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Tim legal monitoring regulasi; desain sistem modular untuk adaptasi cepat</w:t>
            </w:r>
          </w:p>
        </w:tc>
      </w:tr>
      <w:tr>
        <w:tc>
          <w:tcPr>
            <w:tcW w:type="dxa" w:w="55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R-09</w:t>
            </w:r>
          </w:p>
        </w:tc>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TEKNIS</w:t>
            </w:r>
          </w:p>
        </w:tc>
        <w:tc>
          <w:tcPr>
            <w:tcW w:type="dxa" w:w="228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Performa platform tidak memenuhi SLA (response time &gt; 2 detik saat peak load)</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8</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70AD47"/>
                <w:sz w:val="22"/>
                <w:szCs w:val="22"/>
              </w:rPr>
              <w:t xml:space="preserve">SEDANG</w:t>
            </w:r>
          </w:p>
        </w:tc>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Load testing sejak fase 3; auto-scaling Kubernetes; CDN CloudFront</w:t>
            </w:r>
          </w:p>
        </w:tc>
      </w:tr>
      <w:tr>
        <w:tc>
          <w:tcPr>
            <w:tcW w:type="dxa" w:w="5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PASAR</w:t>
            </w:r>
          </w:p>
        </w:tc>
        <w:tc>
          <w:tcPr>
            <w:tcW w:type="dxa" w:w="228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Rendahnya partisipasi pedagang dan eksportir pada fase go-live</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9</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70AD47"/>
                <w:sz w:val="22"/>
                <w:szCs w:val="22"/>
              </w:rPr>
              <w:t xml:space="preserve">SEDANG</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Early adopter incentive; fitur marketplace gratis 6 bulan pertama; partnership asosiasi</w:t>
            </w:r>
          </w:p>
        </w:tc>
      </w:tr>
      <w:tr>
        <w:tc>
          <w:tcPr>
            <w:tcW w:type="dxa" w:w="55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R-11</w:t>
            </w:r>
          </w:p>
        </w:tc>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ALAM</w:t>
            </w:r>
          </w:p>
        </w:tc>
        <w:tc>
          <w:tcPr>
            <w:tcW w:type="dxa" w:w="2287"/>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Bencana alam (gempa, banjir) mengganggu operasional 12 pelabuhan target</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6</w:t>
            </w:r>
          </w:p>
        </w:tc>
        <w:tc>
          <w:tcPr>
            <w:tcW w:type="dxa" w:w="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A9D18E"/>
                <w:sz w:val="22"/>
                <w:szCs w:val="22"/>
              </w:rPr>
              <w:t xml:space="preserve">RENDAH</w:t>
            </w:r>
          </w:p>
        </w:tc>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Multi-region cloud backup; disaster recovery plan; BCP per pelabuhan</w:t>
            </w:r>
          </w:p>
        </w:tc>
      </w:tr>
      <w:tr>
        <w:tc>
          <w:tcPr>
            <w:tcW w:type="dxa" w:w="5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R-12</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TEKNIS</w:t>
            </w:r>
          </w:p>
        </w:tc>
        <w:tc>
          <w:tcPr>
            <w:tcW w:type="dxa" w:w="228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AI model akurasi prediksi harga tidak mencapai target &gt; 92%</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A9D18E"/>
                <w:sz w:val="22"/>
                <w:szCs w:val="22"/>
              </w:rPr>
              <w:t xml:space="preserve">RENDAH</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Hyperparameter tuning; augmentasi dataset; retrain model tiap bulan</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Gambar 2. Matriks Risiko Proyek SISTRAS-KAN (Probability × Impact)</w:t>
      </w:r>
    </w:p>
    <w:p>
      <w:pPr>
        <w:spacing w:after="80" w:before="0" w:line="360"/>
        <w:ind/>
        <w:jc w:val="both"/>
      </w:pPr>
      <w:r>
        <w:rPr>
          <w:rFonts w:ascii="Times New Roman" w:cs="Times New Roman" w:eastAsia="Times New Roman" w:hAnsi="Times New Roman"/>
          <w:b w:val="false"/>
          <w:bCs w:val="false"/>
          <w:i w:val="false"/>
          <w:iCs w:val="false"/>
          <w:caps w:val="false"/>
          <w:color w:val="000000"/>
          <w:sz w:val="24"/>
          <w:szCs w:val="24"/>
        </w:rPr>
        <w:t xml:space="preserve">Berikut adalah matriks risiko 5×5 yang memvisualisasikan distribusi risiko berdasarkan probabilitas dan dampaknya: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000"/>
        <w:gridCol w:w="1387"/>
        <w:gridCol w:w="1387"/>
        <w:gridCol w:w="1387"/>
        <w:gridCol w:w="1387"/>
        <w:gridCol w:w="1387"/>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Probabilitas ↓ / Dampak →</w:t>
            </w:r>
          </w:p>
        </w:tc>
        <w:tc>
          <w:tcPr>
            <w:tcW w:type="dxa" w:w="138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 – Sangat Rendah</w:t>
            </w:r>
          </w:p>
        </w:tc>
        <w:tc>
          <w:tcPr>
            <w:tcW w:type="dxa" w:w="138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2 – Rendah</w:t>
            </w:r>
          </w:p>
        </w:tc>
        <w:tc>
          <w:tcPr>
            <w:tcW w:type="dxa" w:w="138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3 – Sedang</w:t>
            </w:r>
          </w:p>
        </w:tc>
        <w:tc>
          <w:tcPr>
            <w:tcW w:type="dxa" w:w="138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4 – Tinggi</w:t>
            </w:r>
          </w:p>
        </w:tc>
        <w:tc>
          <w:tcPr>
            <w:tcW w:type="dxa" w:w="138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5 – Sangat Tinggi</w:t>
            </w:r>
          </w:p>
        </w:tc>
      </w:tr>
      <w:tr>
        <w:tc>
          <w:tcPr>
            <w:tcW w:type="dxa" w:w="10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5 – Sangat Tinggi</w:t>
            </w:r>
          </w:p>
        </w:tc>
        <w:tc>
          <w:tcPr>
            <w:tcW w:type="dxa" w:w="1387"/>
            <w:tcBorders>
              <w:top w:val="single" w:color="AAAAAA" w:sz="1"/>
              <w:left w:val="single" w:color="AAAAAA" w:sz="1"/>
              <w:bottom w:val="single" w:color="AAAAAA" w:sz="1"/>
              <w:right w:val="single" w:color="AAAAAA" w:sz="1"/>
            </w:tcBorders>
            <w:shd w:fill="70AD47"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5</w:t>
            </w:r>
          </w:p>
        </w:tc>
        <w:tc>
          <w:tcPr>
            <w:tcW w:type="dxa" w:w="1387"/>
            <w:tcBorders>
              <w:top w:val="single" w:color="AAAAAA" w:sz="1"/>
              <w:left w:val="single" w:color="AAAAAA" w:sz="1"/>
              <w:bottom w:val="single" w:color="AAAAAA" w:sz="1"/>
              <w:right w:val="single" w:color="AAAAAA" w:sz="1"/>
            </w:tcBorders>
            <w:shd w:fill="ED7D31"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FFFFFF"/>
                <w:sz w:val="20"/>
                <w:szCs w:val="20"/>
              </w:rPr>
              <w:t xml:space="preserve">10</w:t>
            </w:r>
          </w:p>
        </w:tc>
        <w:tc>
          <w:tcPr>
            <w:tcW w:type="dxa" w:w="1387"/>
            <w:tcBorders>
              <w:top w:val="single" w:color="AAAAAA" w:sz="1"/>
              <w:left w:val="single" w:color="AAAAAA" w:sz="1"/>
              <w:bottom w:val="single" w:color="AAAAAA" w:sz="1"/>
              <w:right w:val="single" w:color="AAAAAA" w:sz="1"/>
            </w:tcBorders>
            <w:shd w:fill="ED7D31"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FFFFFF"/>
                <w:sz w:val="20"/>
                <w:szCs w:val="20"/>
              </w:rPr>
              <w:t xml:space="preserve">15</w:t>
            </w:r>
          </w:p>
        </w:tc>
        <w:tc>
          <w:tcPr>
            <w:tcW w:type="dxa" w:w="1387"/>
            <w:tcBorders>
              <w:top w:val="single" w:color="AAAAAA" w:sz="1"/>
              <w:left w:val="single" w:color="AAAAAA" w:sz="1"/>
              <w:bottom w:val="single" w:color="AAAAAA" w:sz="1"/>
              <w:right w:val="single" w:color="AAAAAA" w:sz="1"/>
            </w:tcBorders>
            <w:shd w:fill="C00000"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FFFFFF"/>
                <w:sz w:val="20"/>
                <w:szCs w:val="20"/>
              </w:rPr>
              <w:t xml:space="preserve">20</w:t>
            </w:r>
          </w:p>
        </w:tc>
        <w:tc>
          <w:tcPr>
            <w:tcW w:type="dxa" w:w="1387"/>
            <w:tcBorders>
              <w:top w:val="single" w:color="AAAAAA" w:sz="1"/>
              <w:left w:val="single" w:color="AAAAAA" w:sz="1"/>
              <w:bottom w:val="single" w:color="AAAAAA" w:sz="1"/>
              <w:right w:val="single" w:color="AAAAAA" w:sz="1"/>
            </w:tcBorders>
            <w:shd w:fill="C00000"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FFFFFF"/>
                <w:sz w:val="20"/>
                <w:szCs w:val="20"/>
              </w:rPr>
              <w:t xml:space="preserve">25</w:t>
            </w:r>
          </w:p>
        </w:tc>
      </w:tr>
      <w:tr>
        <w:tc>
          <w:tcPr>
            <w:tcW w:type="dxa" w:w="10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4 – Tinggi</w:t>
            </w:r>
          </w:p>
        </w:tc>
        <w:tc>
          <w:tcPr>
            <w:tcW w:type="dxa" w:w="1387"/>
            <w:tcBorders>
              <w:top w:val="single" w:color="AAAAAA" w:sz="1"/>
              <w:left w:val="single" w:color="AAAAAA" w:sz="1"/>
              <w:bottom w:val="single" w:color="AAAAAA" w:sz="1"/>
              <w:right w:val="single" w:color="AAAAAA" w:sz="1"/>
            </w:tcBorders>
            <w:shd w:fill="70AD47"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w:t>
            </w:r>
          </w:p>
        </w:tc>
        <w:tc>
          <w:tcPr>
            <w:tcW w:type="dxa" w:w="1387"/>
            <w:tcBorders>
              <w:top w:val="single" w:color="AAAAAA" w:sz="1"/>
              <w:left w:val="single" w:color="AAAAAA" w:sz="1"/>
              <w:bottom w:val="single" w:color="AAAAAA" w:sz="1"/>
              <w:right w:val="single" w:color="AAAAAA" w:sz="1"/>
            </w:tcBorders>
            <w:shd w:fill="70AD47"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8</w:t>
            </w:r>
          </w:p>
        </w:tc>
        <w:tc>
          <w:tcPr>
            <w:tcW w:type="dxa" w:w="1387"/>
            <w:tcBorders>
              <w:top w:val="single" w:color="AAAAAA" w:sz="1"/>
              <w:left w:val="single" w:color="AAAAAA" w:sz="1"/>
              <w:bottom w:val="single" w:color="AAAAAA" w:sz="1"/>
              <w:right w:val="single" w:color="AAAAAA" w:sz="1"/>
            </w:tcBorders>
            <w:shd w:fill="ED7D31" w:val="clear"/>
            <w:tcMar>
              <w:top w:type="dxa" w:w="80"/>
              <w:left w:type="dxa" w:w="60"/>
              <w:bottom w:type="dxa" w:w="80"/>
              <w:right w:type="dxa" w:w="60"/>
            </w:tcMar>
          </w:tcPr>
          <w:p>
            <w:pPr>
              <w:spacing w:after="0" w:before="0"/>
              <w:jc w:val="center"/>
            </w:pPr>
            <w:r>
              <w:rPr>
                <w:rFonts w:ascii="Times New Roman" w:cs="Times New Roman" w:eastAsia="Times New Roman" w:hAnsi="Times New Roman"/>
                <w:b/>
                <w:bCs/>
                <w:i w:val="false"/>
                <w:iCs w:val="false"/>
                <w:caps w:val="false"/>
                <w:color w:val="FFFFFF"/>
                <w:sz w:val="18"/>
                <w:szCs w:val="18"/>
              </w:rPr>
              <w:t xml:space="preserve">R-03</w:t>
            </w:r>
          </w:p>
        </w:tc>
        <w:tc>
          <w:tcPr>
            <w:tcW w:type="dxa" w:w="1387"/>
            <w:tcBorders>
              <w:top w:val="single" w:color="AAAAAA" w:sz="1"/>
              <w:left w:val="single" w:color="AAAAAA" w:sz="1"/>
              <w:bottom w:val="single" w:color="AAAAAA" w:sz="1"/>
              <w:right w:val="single" w:color="AAAAAA" w:sz="1"/>
            </w:tcBorders>
            <w:shd w:fill="C00000" w:val="clear"/>
            <w:tcMar>
              <w:top w:type="dxa" w:w="80"/>
              <w:left w:type="dxa" w:w="60"/>
              <w:bottom w:type="dxa" w:w="80"/>
              <w:right w:type="dxa" w:w="60"/>
            </w:tcMar>
          </w:tcPr>
          <w:p>
            <w:pPr>
              <w:spacing w:after="0" w:before="0"/>
              <w:jc w:val="center"/>
            </w:pPr>
            <w:r>
              <w:rPr>
                <w:rFonts w:ascii="Times New Roman" w:cs="Times New Roman" w:eastAsia="Times New Roman" w:hAnsi="Times New Roman"/>
                <w:b/>
                <w:bCs/>
                <w:i w:val="false"/>
                <w:iCs w:val="false"/>
                <w:caps w:val="false"/>
                <w:color w:val="FFFFFF"/>
                <w:sz w:val="18"/>
                <w:szCs w:val="18"/>
              </w:rPr>
              <w:t xml:space="preserve">R-02</w:t>
            </w:r>
          </w:p>
        </w:tc>
        <w:tc>
          <w:tcPr>
            <w:tcW w:type="dxa" w:w="1387"/>
            <w:tcBorders>
              <w:top w:val="single" w:color="AAAAAA" w:sz="1"/>
              <w:left w:val="single" w:color="AAAAAA" w:sz="1"/>
              <w:bottom w:val="single" w:color="AAAAAA" w:sz="1"/>
              <w:right w:val="single" w:color="AAAAAA" w:sz="1"/>
            </w:tcBorders>
            <w:shd w:fill="C00000" w:val="clear"/>
            <w:tcMar>
              <w:top w:type="dxa" w:w="80"/>
              <w:left w:type="dxa" w:w="60"/>
              <w:bottom w:type="dxa" w:w="80"/>
              <w:right w:type="dxa" w:w="60"/>
            </w:tcMar>
          </w:tcPr>
          <w:p>
            <w:pPr>
              <w:spacing w:after="0" w:before="0"/>
              <w:jc w:val="center"/>
            </w:pPr>
            <w:r>
              <w:rPr>
                <w:rFonts w:ascii="Times New Roman" w:cs="Times New Roman" w:eastAsia="Times New Roman" w:hAnsi="Times New Roman"/>
                <w:b/>
                <w:bCs/>
                <w:i w:val="false"/>
                <w:iCs w:val="false"/>
                <w:caps w:val="false"/>
                <w:color w:val="FFFFFF"/>
                <w:sz w:val="18"/>
                <w:szCs w:val="18"/>
              </w:rPr>
              <w:t xml:space="preserve">R-01</w:t>
            </w:r>
          </w:p>
        </w:tc>
      </w:tr>
      <w:tr>
        <w:tc>
          <w:tcPr>
            <w:tcW w:type="dxa" w:w="10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3 – Sedang</w:t>
            </w:r>
          </w:p>
        </w:tc>
        <w:tc>
          <w:tcPr>
            <w:tcW w:type="dxa" w:w="1387"/>
            <w:tcBorders>
              <w:top w:val="single" w:color="AAAAAA" w:sz="1"/>
              <w:left w:val="single" w:color="AAAAAA" w:sz="1"/>
              <w:bottom w:val="single" w:color="AAAAAA" w:sz="1"/>
              <w:right w:val="single" w:color="AAAAAA" w:sz="1"/>
            </w:tcBorders>
            <w:shd w:fill="A9D18E"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w:t>
            </w:r>
          </w:p>
        </w:tc>
        <w:tc>
          <w:tcPr>
            <w:tcW w:type="dxa" w:w="1387"/>
            <w:tcBorders>
              <w:top w:val="single" w:color="AAAAAA" w:sz="1"/>
              <w:left w:val="single" w:color="AAAAAA" w:sz="1"/>
              <w:bottom w:val="single" w:color="AAAAAA" w:sz="1"/>
              <w:right w:val="single" w:color="AAAAAA" w:sz="1"/>
            </w:tcBorders>
            <w:shd w:fill="70AD47"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6</w:t>
            </w:r>
          </w:p>
        </w:tc>
        <w:tc>
          <w:tcPr>
            <w:tcW w:type="dxa" w:w="1387"/>
            <w:tcBorders>
              <w:top w:val="single" w:color="AAAAAA" w:sz="1"/>
              <w:left w:val="single" w:color="AAAAAA" w:sz="1"/>
              <w:bottom w:val="single" w:color="AAAAAA" w:sz="1"/>
              <w:right w:val="single" w:color="AAAAAA" w:sz="1"/>
            </w:tcBorders>
            <w:shd w:fill="ED7D31" w:val="clear"/>
            <w:tcMar>
              <w:top w:type="dxa" w:w="80"/>
              <w:left w:type="dxa" w:w="60"/>
              <w:bottom w:type="dxa" w:w="80"/>
              <w:right w:type="dxa" w:w="60"/>
            </w:tcMar>
          </w:tcPr>
          <w:p>
            <w:pPr>
              <w:spacing w:after="0" w:before="0"/>
              <w:jc w:val="center"/>
            </w:pPr>
            <w:r>
              <w:rPr>
                <w:rFonts w:ascii="Times New Roman" w:cs="Times New Roman" w:eastAsia="Times New Roman" w:hAnsi="Times New Roman"/>
                <w:b/>
                <w:bCs/>
                <w:i w:val="false"/>
                <w:iCs w:val="false"/>
                <w:caps w:val="false"/>
                <w:color w:val="FFFFFF"/>
                <w:sz w:val="18"/>
                <w:szCs w:val="18"/>
              </w:rPr>
              <w:t xml:space="preserve">R-06,R-10</w:t>
            </w:r>
          </w:p>
        </w:tc>
        <w:tc>
          <w:tcPr>
            <w:tcW w:type="dxa" w:w="1387"/>
            <w:tcBorders>
              <w:top w:val="single" w:color="AAAAAA" w:sz="1"/>
              <w:left w:val="single" w:color="AAAAAA" w:sz="1"/>
              <w:bottom w:val="single" w:color="AAAAAA" w:sz="1"/>
              <w:right w:val="single" w:color="AAAAAA" w:sz="1"/>
            </w:tcBorders>
            <w:shd w:fill="ED7D31" w:val="clear"/>
            <w:tcMar>
              <w:top w:type="dxa" w:w="80"/>
              <w:left w:type="dxa" w:w="60"/>
              <w:bottom w:type="dxa" w:w="80"/>
              <w:right w:type="dxa" w:w="60"/>
            </w:tcMar>
          </w:tcPr>
          <w:p>
            <w:pPr>
              <w:spacing w:after="0" w:before="0"/>
              <w:jc w:val="center"/>
            </w:pPr>
            <w:r>
              <w:rPr>
                <w:rFonts w:ascii="Times New Roman" w:cs="Times New Roman" w:eastAsia="Times New Roman" w:hAnsi="Times New Roman"/>
                <w:b/>
                <w:bCs/>
                <w:i w:val="false"/>
                <w:iCs w:val="false"/>
                <w:caps w:val="false"/>
                <w:color w:val="FFFFFF"/>
                <w:sz w:val="18"/>
                <w:szCs w:val="18"/>
              </w:rPr>
              <w:t xml:space="preserve">R-05,R-07</w:t>
            </w:r>
          </w:p>
        </w:tc>
        <w:tc>
          <w:tcPr>
            <w:tcW w:type="dxa" w:w="1387"/>
            <w:tcBorders>
              <w:top w:val="single" w:color="AAAAAA" w:sz="1"/>
              <w:left w:val="single" w:color="AAAAAA" w:sz="1"/>
              <w:bottom w:val="single" w:color="AAAAAA" w:sz="1"/>
              <w:right w:val="single" w:color="AAAAAA" w:sz="1"/>
            </w:tcBorders>
            <w:shd w:fill="ED7D31"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FFFFFF"/>
                <w:sz w:val="20"/>
                <w:szCs w:val="20"/>
              </w:rPr>
              <w:t xml:space="preserve">15</w:t>
            </w:r>
          </w:p>
        </w:tc>
      </w:tr>
      <w:tr>
        <w:tc>
          <w:tcPr>
            <w:tcW w:type="dxa" w:w="10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2 – Rendah</w:t>
            </w:r>
          </w:p>
        </w:tc>
        <w:tc>
          <w:tcPr>
            <w:tcW w:type="dxa" w:w="1387"/>
            <w:tcBorders>
              <w:top w:val="single" w:color="AAAAAA" w:sz="1"/>
              <w:left w:val="single" w:color="AAAAAA" w:sz="1"/>
              <w:bottom w:val="single" w:color="AAAAAA" w:sz="1"/>
              <w:right w:val="single" w:color="AAAAAA" w:sz="1"/>
            </w:tcBorders>
            <w:shd w:fill="A9D18E"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w:t>
            </w:r>
          </w:p>
        </w:tc>
        <w:tc>
          <w:tcPr>
            <w:tcW w:type="dxa" w:w="1387"/>
            <w:tcBorders>
              <w:top w:val="single" w:color="AAAAAA" w:sz="1"/>
              <w:left w:val="single" w:color="AAAAAA" w:sz="1"/>
              <w:bottom w:val="single" w:color="AAAAAA" w:sz="1"/>
              <w:right w:val="single" w:color="AAAAAA" w:sz="1"/>
            </w:tcBorders>
            <w:shd w:fill="70AD47"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w:t>
            </w:r>
          </w:p>
        </w:tc>
        <w:tc>
          <w:tcPr>
            <w:tcW w:type="dxa" w:w="1387"/>
            <w:tcBorders>
              <w:top w:val="single" w:color="AAAAAA" w:sz="1"/>
              <w:left w:val="single" w:color="AAAAAA" w:sz="1"/>
              <w:bottom w:val="single" w:color="AAAAAA" w:sz="1"/>
              <w:right w:val="single" w:color="AAAAAA" w:sz="1"/>
            </w:tcBorders>
            <w:shd w:fill="70AD47" w:val="clear"/>
            <w:tcMar>
              <w:top w:type="dxa" w:w="80"/>
              <w:left w:type="dxa" w:w="60"/>
              <w:bottom w:type="dxa" w:w="80"/>
              <w:right w:type="dxa" w:w="60"/>
            </w:tcMar>
          </w:tcPr>
          <w:p>
            <w:pPr>
              <w:spacing w:after="0" w:before="0"/>
              <w:jc w:val="center"/>
            </w:pPr>
            <w:r>
              <w:rPr>
                <w:rFonts w:ascii="Times New Roman" w:cs="Times New Roman" w:eastAsia="Times New Roman" w:hAnsi="Times New Roman"/>
                <w:b/>
                <w:bCs/>
                <w:i w:val="false"/>
                <w:iCs w:val="false"/>
                <w:caps w:val="false"/>
                <w:color w:val="000000"/>
                <w:sz w:val="18"/>
                <w:szCs w:val="18"/>
              </w:rPr>
              <w:t xml:space="preserve">R-11,R-12</w:t>
            </w:r>
          </w:p>
        </w:tc>
        <w:tc>
          <w:tcPr>
            <w:tcW w:type="dxa" w:w="1387"/>
            <w:tcBorders>
              <w:top w:val="single" w:color="AAAAAA" w:sz="1"/>
              <w:left w:val="single" w:color="AAAAAA" w:sz="1"/>
              <w:bottom w:val="single" w:color="AAAAAA" w:sz="1"/>
              <w:right w:val="single" w:color="AAAAAA" w:sz="1"/>
            </w:tcBorders>
            <w:shd w:fill="70AD47" w:val="clear"/>
            <w:tcMar>
              <w:top w:type="dxa" w:w="80"/>
              <w:left w:type="dxa" w:w="60"/>
              <w:bottom w:type="dxa" w:w="80"/>
              <w:right w:type="dxa" w:w="60"/>
            </w:tcMar>
          </w:tcPr>
          <w:p>
            <w:pPr>
              <w:spacing w:after="0" w:before="0"/>
              <w:jc w:val="center"/>
            </w:pPr>
            <w:r>
              <w:rPr>
                <w:rFonts w:ascii="Times New Roman" w:cs="Times New Roman" w:eastAsia="Times New Roman" w:hAnsi="Times New Roman"/>
                <w:b/>
                <w:bCs/>
                <w:i w:val="false"/>
                <w:iCs w:val="false"/>
                <w:caps w:val="false"/>
                <w:color w:val="000000"/>
                <w:sz w:val="18"/>
                <w:szCs w:val="18"/>
              </w:rPr>
              <w:t xml:space="preserve">R-08,R-09</w:t>
            </w:r>
          </w:p>
        </w:tc>
        <w:tc>
          <w:tcPr>
            <w:tcW w:type="dxa" w:w="1387"/>
            <w:tcBorders>
              <w:top w:val="single" w:color="AAAAAA" w:sz="1"/>
              <w:left w:val="single" w:color="AAAAAA" w:sz="1"/>
              <w:bottom w:val="single" w:color="AAAAAA" w:sz="1"/>
              <w:right w:val="single" w:color="AAAAAA" w:sz="1"/>
            </w:tcBorders>
            <w:shd w:fill="ED7D31" w:val="clear"/>
            <w:tcMar>
              <w:top w:type="dxa" w:w="80"/>
              <w:left w:type="dxa" w:w="60"/>
              <w:bottom w:type="dxa" w:w="80"/>
              <w:right w:type="dxa" w:w="60"/>
            </w:tcMar>
          </w:tcPr>
          <w:p>
            <w:pPr>
              <w:spacing w:after="0" w:before="0"/>
              <w:jc w:val="center"/>
            </w:pPr>
            <w:r>
              <w:rPr>
                <w:rFonts w:ascii="Times New Roman" w:cs="Times New Roman" w:eastAsia="Times New Roman" w:hAnsi="Times New Roman"/>
                <w:b/>
                <w:bCs/>
                <w:i w:val="false"/>
                <w:iCs w:val="false"/>
                <w:caps w:val="false"/>
                <w:color w:val="FFFFFF"/>
                <w:sz w:val="18"/>
                <w:szCs w:val="18"/>
              </w:rPr>
              <w:t xml:space="preserve">R-04</w:t>
            </w:r>
          </w:p>
        </w:tc>
      </w:tr>
      <w:tr>
        <w:tc>
          <w:tcPr>
            <w:tcW w:type="dxa" w:w="10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 – Sangat Rendah</w:t>
            </w:r>
          </w:p>
        </w:tc>
        <w:tc>
          <w:tcPr>
            <w:tcW w:type="dxa" w:w="1387"/>
            <w:tcBorders>
              <w:top w:val="single" w:color="AAAAAA" w:sz="1"/>
              <w:left w:val="single" w:color="AAAAAA" w:sz="1"/>
              <w:bottom w:val="single" w:color="AAAAAA" w:sz="1"/>
              <w:right w:val="single" w:color="AAAAAA" w:sz="1"/>
            </w:tcBorders>
            <w:shd w:fill="A9D18E"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1</w:t>
            </w:r>
          </w:p>
        </w:tc>
        <w:tc>
          <w:tcPr>
            <w:tcW w:type="dxa" w:w="1387"/>
            <w:tcBorders>
              <w:top w:val="single" w:color="AAAAAA" w:sz="1"/>
              <w:left w:val="single" w:color="AAAAAA" w:sz="1"/>
              <w:bottom w:val="single" w:color="AAAAAA" w:sz="1"/>
              <w:right w:val="single" w:color="AAAAAA" w:sz="1"/>
            </w:tcBorders>
            <w:shd w:fill="A9D18E"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2</w:t>
            </w:r>
          </w:p>
        </w:tc>
        <w:tc>
          <w:tcPr>
            <w:tcW w:type="dxa" w:w="1387"/>
            <w:tcBorders>
              <w:top w:val="single" w:color="AAAAAA" w:sz="1"/>
              <w:left w:val="single" w:color="AAAAAA" w:sz="1"/>
              <w:bottom w:val="single" w:color="AAAAAA" w:sz="1"/>
              <w:right w:val="single" w:color="AAAAAA" w:sz="1"/>
            </w:tcBorders>
            <w:shd w:fill="A9D18E"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3</w:t>
            </w:r>
          </w:p>
        </w:tc>
        <w:tc>
          <w:tcPr>
            <w:tcW w:type="dxa" w:w="1387"/>
            <w:tcBorders>
              <w:top w:val="single" w:color="AAAAAA" w:sz="1"/>
              <w:left w:val="single" w:color="AAAAAA" w:sz="1"/>
              <w:bottom w:val="single" w:color="AAAAAA" w:sz="1"/>
              <w:right w:val="single" w:color="AAAAAA" w:sz="1"/>
            </w:tcBorders>
            <w:shd w:fill="70AD47"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4</w:t>
            </w:r>
          </w:p>
        </w:tc>
        <w:tc>
          <w:tcPr>
            <w:tcW w:type="dxa" w:w="1387"/>
            <w:tcBorders>
              <w:top w:val="single" w:color="AAAAAA" w:sz="1"/>
              <w:left w:val="single" w:color="AAAAAA" w:sz="1"/>
              <w:bottom w:val="single" w:color="AAAAAA" w:sz="1"/>
              <w:right w:val="single" w:color="AAAAAA" w:sz="1"/>
            </w:tcBorders>
            <w:shd w:fill="70AD47" w:val="clear"/>
            <w:tcMar>
              <w:top w:type="dxa" w:w="80"/>
              <w:left w:type="dxa" w:w="60"/>
              <w:bottom w:type="dxa" w:w="80"/>
              <w:right w:type="dxa" w:w="60"/>
            </w:tcMar>
          </w:tcPr>
          <w:p>
            <w:pPr>
              <w:spacing w:after="0" w:before="0"/>
              <w:jc w:val="center"/>
            </w:pPr>
            <w:r>
              <w:rPr>
                <w:rFonts w:ascii="Times New Roman" w:cs="Times New Roman" w:eastAsia="Times New Roman" w:hAnsi="Times New Roman"/>
                <w:b w:val="false"/>
                <w:bCs w:val="false"/>
                <w:i w:val="false"/>
                <w:iCs w:val="false"/>
                <w:caps w:val="false"/>
                <w:color w:val="000000"/>
                <w:sz w:val="20"/>
                <w:szCs w:val="20"/>
              </w:rPr>
              <w:t xml:space="preserve">5</w:t>
            </w:r>
          </w:p>
        </w:tc>
      </w:tr>
      <w:tr>
        <w:tc>
          <w:tcPr>
            <w:tcW w:type="dxa" w:w="1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LEGENDA:</w:t>
            </w:r>
          </w:p>
        </w:tc>
        <w:tc>
          <w:tcPr>
            <w:tcW w:type="dxa" w:w="1387"/>
            <w:tcBorders>
              <w:top w:val="single" w:color="AAAAAA" w:sz="1"/>
              <w:left w:val="single" w:color="AAAAAA" w:sz="1"/>
              <w:bottom w:val="single" w:color="AAAAAA" w:sz="1"/>
              <w:right w:val="single" w:color="AAAAAA" w:sz="1"/>
            </w:tcBorders>
            <w:shd w:fill="A9D18E"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1–3: Dapat Diabaikan</w:t>
            </w:r>
          </w:p>
        </w:tc>
        <w:tc>
          <w:tcPr>
            <w:tcW w:type="dxa" w:w="1387"/>
            <w:tcBorders>
              <w:top w:val="single" w:color="AAAAAA" w:sz="1"/>
              <w:left w:val="single" w:color="AAAAAA" w:sz="1"/>
              <w:bottom w:val="single" w:color="AAAAAA" w:sz="1"/>
              <w:right w:val="single" w:color="AAAAAA" w:sz="1"/>
            </w:tcBorders>
            <w:shd w:fill="70AD47"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4–6: RENDAH</w:t>
            </w:r>
          </w:p>
        </w:tc>
        <w:tc>
          <w:tcPr>
            <w:tcW w:type="dxa" w:w="1387"/>
            <w:tcBorders>
              <w:top w:val="single" w:color="AAAAAA" w:sz="1"/>
              <w:left w:val="single" w:color="AAAAAA" w:sz="1"/>
              <w:bottom w:val="single" w:color="AAAAAA" w:sz="1"/>
              <w:right w:val="single" w:color="AAAAAA" w:sz="1"/>
            </w:tcBorders>
            <w:shd w:fill="ED7D31"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9–12: SEDANG</w:t>
            </w:r>
          </w:p>
        </w:tc>
        <w:tc>
          <w:tcPr>
            <w:tcW w:type="dxa" w:w="1387"/>
            <w:tcBorders>
              <w:top w:val="single" w:color="AAAAAA" w:sz="1"/>
              <w:left w:val="single" w:color="AAAAAA" w:sz="1"/>
              <w:bottom w:val="single" w:color="AAAAAA" w:sz="1"/>
              <w:right w:val="single" w:color="AAAAAA" w:sz="1"/>
            </w:tcBorders>
            <w:shd w:fill="C00000"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16–20: TINGGI</w:t>
            </w:r>
          </w:p>
        </w:tc>
        <w:tc>
          <w:tcPr>
            <w:tcW w:type="dxa" w:w="1387"/>
            <w:tcBorders>
              <w:top w:val="single" w:color="AAAAAA" w:sz="1"/>
              <w:left w:val="single" w:color="AAAAAA" w:sz="1"/>
              <w:bottom w:val="single" w:color="AAAAAA" w:sz="1"/>
              <w:right w:val="single" w:color="AAAAAA" w:sz="1"/>
            </w:tcBorders>
            <w:shd w:fill="C00000"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25: KRITIS</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pStyle w:val="Heading2"/>
        <w:spacing w:after="120" w:before="200"/>
      </w:pPr>
      <w:r>
        <w:rPr>
          <w:rFonts w:ascii="Times New Roman" w:cs="Times New Roman" w:eastAsia="Times New Roman" w:hAnsi="Times New Roman"/>
          <w:b/>
          <w:bCs/>
          <w:i w:val="false"/>
          <w:iCs w:val="false"/>
          <w:caps w:val="false"/>
          <w:color w:val="2E75B6"/>
          <w:sz w:val="26"/>
          <w:szCs w:val="26"/>
        </w:rPr>
        <w:t xml:space="preserve">J. Asumsi</w:t>
      </w:r>
    </w:p>
    <w:p>
      <w:pPr>
        <w:spacing w:after="120" w:before="0" w:line="360"/>
        <w:ind w:firstLine="720"/>
        <w:jc w:val="both"/>
      </w:pPr>
      <w:r>
        <w:rPr>
          <w:rFonts w:ascii="Times New Roman" w:cs="Times New Roman" w:eastAsia="Times New Roman" w:hAnsi="Times New Roman"/>
          <w:b w:val="false"/>
          <w:bCs w:val="false"/>
          <w:i w:val="false"/>
          <w:iCs w:val="false"/>
          <w:caps w:val="false"/>
          <w:color w:val="000000"/>
          <w:sz w:val="24"/>
          <w:szCs w:val="24"/>
        </w:rPr>
        <w:t xml:space="preserve">Asumsi proyek adalah pernyataan yang dianggap benar tanpa verifikasi penuh pada saat perencanaan. Seluruh asumsi berikut harus divalidasi secara berkala dalam setiap phase gate review. Jika asumsi terbukti tidak valid, Project Manager wajib mengaktifkan proses Change Request (CR):</w:t>
      </w:r>
    </w:p>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pPr>
        <w:spacing w:after="80" w:before="0" w:line="360"/>
        <w:ind/>
        <w:jc w:val="center"/>
      </w:pPr>
      <w:r>
        <w:rPr>
          <w:rFonts w:ascii="Times New Roman" w:cs="Times New Roman" w:eastAsia="Times New Roman" w:hAnsi="Times New Roman"/>
          <w:b/>
          <w:bCs/>
          <w:i/>
          <w:iCs/>
          <w:caps w:val="false"/>
          <w:color w:val="000000"/>
          <w:sz w:val="22"/>
          <w:szCs w:val="22"/>
        </w:rPr>
        <w:t xml:space="preserve">Tabel 15. Daftar Asumsi Proyek SISTRAS-KAN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37"/>
        <w:gridCol w:w="320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No.</w:t>
            </w:r>
          </w:p>
        </w:tc>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Pernyataan Asumsi</w:t>
            </w:r>
          </w:p>
        </w:tc>
        <w:tc>
          <w:tcPr>
            <w:tcW w:type="dxa" w:w="1537"/>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Kategori</w:t>
            </w:r>
          </w:p>
        </w:tc>
        <w:tc>
          <w:tcPr>
            <w:tcW w:type="dxa" w:w="32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FFFFFF"/>
                <w:sz w:val="22"/>
                <w:szCs w:val="22"/>
              </w:rPr>
              <w:t xml:space="preserve">Dampak jika Asumsi Tidak Valid</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Pemerintah Provinsi Sulawesi Selatan memberikan dukungan penuh dan MoU ditandatangani sebelum 1 Juli 2026</w:t>
            </w:r>
          </w:p>
        </w:tc>
        <w:tc>
          <w:tcPr>
            <w:tcW w:type="dxa" w:w="15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Kelembagaan</w:t>
            </w:r>
          </w:p>
        </w:tc>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Proyek tidak dapat dimulai; perlu eskalasi ke Kemenkomarves dan penjadwalan ulang</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BKIPM Makassar bersedia menyediakan akses sandbox API dan dokumen teknis API selambat-lambatnya Bulan ke-8</w:t>
            </w:r>
          </w:p>
        </w:tc>
        <w:tc>
          <w:tcPr>
            <w:tcW w:type="dxa" w:w="15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Teknis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Modul integrasi BKIPM tertunda; berisiko menggeser jadwal Go-Live hingga 2 bulan</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Jaringan 4G Telkomsel tersedia di minimal 80% zona penangkapan ikan utama di Teluk Bone, Selat Makassar, dan Laut Flores</w:t>
            </w:r>
          </w:p>
        </w:tc>
        <w:tc>
          <w:tcPr>
            <w:tcW w:type="dxa" w:w="15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Infrastruktur</w:t>
            </w:r>
          </w:p>
        </w:tc>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Deployment LoRaWAN diperluas ke lebih banyak titik; penambahan biaya infrastruktur IoT</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Minimal 70% nelayan target bersedia mengikuti program pelatihan digital selama 2 minggu</w:t>
            </w:r>
          </w:p>
        </w:tc>
        <w:tc>
          <w:tcPr>
            <w:tcW w:type="dxa" w:w="15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Adopsi</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Tingkat adopsi platform rendah; KPI pendapatan nelayan tidak tercapai dalam target waktu</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5</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Harga komponen ESP32, sensor IoT, dan gateway LoRaWAN tidak naik lebih dari 15% selama durasi proyek</w:t>
            </w:r>
          </w:p>
        </w:tc>
        <w:tc>
          <w:tcPr>
            <w:tcW w:type="dxa" w:w="15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Keuangan</w:t>
            </w:r>
          </w:p>
        </w:tc>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Pembengkakan biaya komponen IoT; perlu revisi RAB dan persetujuan sponsor</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Nilai tukar USD/IDR stabil di kisaran Rp 15.500–17.000 per USD selama 18 bulan proyek</w:t>
            </w:r>
          </w:p>
        </w:tc>
        <w:tc>
          <w:tcPr>
            <w:tcW w:type="dxa" w:w="15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Keuangan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Biaya cloud AWS dan lisensi software meningkat; contingency reserve diaktifkan</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7</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Tim pengembang inti (technical lead per sub-tim) tidak mengalami turnover selama fase pengembangan kritis (Bulan 3–14)</w:t>
            </w:r>
          </w:p>
        </w:tc>
        <w:tc>
          <w:tcPr>
            <w:tcW w:type="dxa" w:w="15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SDM</w:t>
            </w:r>
          </w:p>
        </w:tc>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Proyek terganggu signifikan; knowledge transfer membutuhkan waktu 4–8 minggu per personel</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Regulasi Undang-Undang PDP No. 27/2022 tidak mengalami perubahan signifikan yang mempengaruhi arsitektur data platform selama periode proyek</w:t>
            </w:r>
          </w:p>
        </w:tc>
        <w:tc>
          <w:tcPr>
            <w:tcW w:type="dxa" w:w="15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Regulasi</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Arsitektur sistem perlu didesain ulang; potensi keterlambatan 1–3 bulan</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9</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Infrastruktur AWS Region Asia Pasifik (Singapore) mempertahankan SLA uptime minimum 99.9% sesuai perjanjian layanan</w:t>
            </w:r>
          </w:p>
        </w:tc>
        <w:tc>
          <w:tcPr>
            <w:tcW w:type="dxa" w:w="1537"/>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Teknis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Gangguan layanan cloud berdampak pada ketersediaan platform; aktivasi disaster recovery</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val="false"/>
                <w:bCs w:val="false"/>
                <w:i w:val="false"/>
                <w:iCs w:val="false"/>
                <w:caps w:val="false"/>
                <w:color w:val="000000"/>
                <w:sz w:val="22"/>
                <w:szCs w:val="22"/>
              </w:rPr>
              <w:t xml:space="preserve">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Kapasitas bandwidth internet di 12 pelabuhan cukup untuk mendukung transmisi data IoT secara real-time tanpa investasi infrastruktur tambahan</w:t>
            </w:r>
          </w:p>
        </w:tc>
        <w:tc>
          <w:tcPr>
            <w:tcW w:type="dxa" w:w="1537"/>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center"/>
            </w:pPr>
            <w:r>
              <w:rPr>
                <w:rFonts w:ascii="Times New Roman" w:cs="Times New Roman" w:eastAsia="Times New Roman" w:hAnsi="Times New Roman"/>
                <w:b/>
                <w:bCs/>
                <w:i w:val="false"/>
                <w:iCs w:val="false"/>
                <w:caps w:val="false"/>
                <w:color w:val="000000"/>
                <w:sz w:val="22"/>
                <w:szCs w:val="22"/>
              </w:rPr>
              <w:t xml:space="preserve">Infrastruktur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22"/>
                <w:szCs w:val="22"/>
              </w:rPr>
              <w:t xml:space="preserve">Perlu investasi tambahan untuk peningkatan bandwidth; tambahan biaya dan waktu</w:t>
            </w:r>
          </w:p>
        </w:tc>
      </w:tr>
    </w:tbl>
    <w:p>
      <w:pPr>
        <w:spacing w:after="60" w:before="0"/>
      </w:pPr>
      <w:r>
        <w:rPr>
          <w:rFonts w:ascii="Times New Roman" w:cs="Times New Roman" w:eastAsia="Times New Roman" w:hAnsi="Times New Roman"/>
          <w:b w:val="false"/>
          <w:bCs w:val="false"/>
          <w:i w:val="false"/>
          <w:iCs w:val="false"/>
          <w:caps w:val="false"/>
          <w:color w:val="000000"/>
          <w:sz w:val="24"/>
          <w:szCs w:val="24"/>
        </w:rPr>
        <w:t xml:space="preserve"/>
      </w:r>
    </w:p>
    <w:p>
      <w:r>
        <w:br w:type="page"/>
      </w:r>
    </w:p>
    <w:p>
      <w:pPr>
        <w:pStyle w:val="Heading1"/>
        <w:spacing w:after="180" w:before="0"/>
      </w:pPr>
      <w:r>
        <w:rPr>
          <w:rFonts w:ascii="Times New Roman" w:cs="Times New Roman" w:eastAsia="Times New Roman" w:hAnsi="Times New Roman"/>
          <w:b/>
          <w:bCs/>
          <w:i w:val="false"/>
          <w:iCs w:val="false"/>
          <w:caps/>
          <w:color w:val="1F3864"/>
          <w:sz w:val="28"/>
          <w:szCs w:val="28"/>
        </w:rPr>
        <w:t xml:space="preserve">DAFTAR PUSTAKA</w:t>
      </w:r>
    </w:p>
    <w:p>
      <w:pPr>
        <w:pBdr>
          <w:bottom w:val="single" w:color="2E75B6" w:sz="6"/>
        </w:pBdr>
        <w:spacing w:after="300" w:before="0"/>
      </w:pP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Ahmad, R., Tahir, A., &amp; Suhadi, M. (2023). Blockchain-based traceability system for fisheries supply chain in Southeast Asia: A systematic literature review. *International Journal of Information Management Data Insights*, 3(2), 100171. https://doi.org/10.1016/j.jjimei.2023.100171</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Arifin, M., Pratama, H., &amp; Nugraha, D. (2024). Implementasi IoT untuk monitoring cold chain perikanan berbasis LoRaWAN di Sulawesi Selatan. *Jurnal Teknologi Informasi dan Ilmu Komputer (JTIIK)*, 11(3), 512–525. https://doi.org/10.25126/jtiik.2024113512</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Chen, L., Wang, Y., &amp; Zhang, W. (2023). Deep learning approaches for demand forecasting in seafood supply chains: LSTM and Transformer comparison. *Computers and Electronics in Agriculture*, 208, 107756. https://doi.org/10.1016/j.compag.2023.107756</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Garcia, M., Puente, O., &amp; Montero, R. (2023). Digital transformation barriers and enablers for small-scale fisheries in developing countries: Systematic review. *Marine Policy*, 158, 105892. https://doi.org/10.1016/j.marpol.2023.105892</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Hidayat, T., &amp; Nugroho, A. S. (2024). Agile-hybrid approach for integrated fishery digital platform development in Indonesia: A case study. *Jurnal Sistem Informasi (JSI)*, 20(1), 45–62. https://doi.org/10.29122/jsi.v20i1.5847</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Kementerian Kelautan dan Perikanan (KKP). (2024). *Laporan kinerja sektor perikanan Indonesia 2023*. Direktorat Jenderal Perikanan Tangkap, Kementerian KP RI.</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Kumar, S., Yadav, R., &amp; Singh, P. (2023). IoT-enabled real-time cold chain monitoring system for perishable marine products: Architecture and validation. *Journal of Food Engineering*, 348, 111235. https://doi.org/10.1016/j.jfoodeng.2023.111235</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Lim, K., Park, J., &amp; Kwon, S. (2023). Hyperledger Fabric-based traceability system for sustainable fisheries certification: Design and evaluation. *IEEE Access*, 11, 23456–23471. https://doi.org/10.1109/ACCESS.2023.3301234</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Pratiwi, R., Setiawan, B., &amp; Hapsari, T. (2024). Analisis risiko proyek sistem informasi berbasis AI dan IoT di sektor perikanan Indonesia: Pendekatan FMEA dan Monte Carlo. *Jurnal Manajemen Proyek Indonesia (JMPI)*, 3(1), 78–95. https://doi.org/10.33701/jmpi.v3i1.2024.95</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Project Management Institute. (2021). *A guide to the project management body of knowledge (PMBOK® guide)* (7th ed.). PMI.</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Schwalbe, K. (2019). *Information technology project management* (9th ed.). Cengage Learning.</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Setiawan, B., Hartono, R., &amp; Apriyanto, D. (2023). Machine learning model for fish price prediction at traditional markets in Sulawesi Selatan: Comparison of LSTM, GRU, and XGBoost. *Jurnal Ilmiah Teknologi Informasi*, 18(2), 112–125. https://doi.org/10.28932/jiti.v18i2.2023.125</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United Nations Development Programme (UNDP). (2023). *Digital transformation of fisheries value chains for SDG 14 in Indonesia*. UNDP Indonesia Country Office.</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Wang, H., Liu, X., &amp; Zhang, T. (2024). Smart contract-enabled blockchain application for sustainable fisheries supply chain management: Evidence from China's coastal regions. *Sustainability*, 16(3), 891. https://doi.org/10.3390/su16030891</w:t>
      </w:r>
    </w:p>
    <w:p>
      <w:pPr>
        <w:spacing w:after="120" w:before="0" w:line="320"/>
        <w:ind w:left="720" w:hanging="720"/>
      </w:pPr>
      <w:r>
        <w:rPr>
          <w:rFonts w:ascii="Times New Roman" w:cs="Times New Roman" w:eastAsia="Times New Roman" w:hAnsi="Times New Roman"/>
          <w:b w:val="false"/>
          <w:bCs w:val="false"/>
          <w:i/>
          <w:iCs/>
          <w:caps w:val="false"/>
          <w:color w:val="000000"/>
          <w:sz w:val="22"/>
          <w:szCs w:val="22"/>
        </w:rPr>
        <w:t xml:space="preserve">Zhao, Y., Wu, J., &amp; Li, Q. (2023). Computer vision-based fish quality assessment using deep learning: YOLOv8 and convolutional neural network approaches. *Food Quality and Preference*, 109, 104923. https://doi.org/10.1016/j.foodqual.2023.104923</w:t>
      </w:r>
    </w:p>
    <w:sectPr>
      <w:footerReference w:type="default" r:id="rId8"/>
      <w:type w:val="nextPage"/>
      <w:pgSz w:w="11906" w:h="16838"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2026-06-16T05:43:42.889Z</dcterms:created>
  <dcterms:modified xsi:type="dcterms:W3CDTF">2026-06-16T05:43:42.910Z</dcterms:modified>
</cp:coreProperties>
</file>

<file path=docProps/custom.xml><?xml version="1.0" encoding="utf-8"?>
<Properties xmlns="http://schemas.openxmlformats.org/officeDocument/2006/custom-properties" xmlns:vt="http://schemas.openxmlformats.org/officeDocument/2006/docPropsVTypes"/>
</file>