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Hackathon Smart City Expo Cali 2026 — Bitácora del proyecto</w:t>
      </w:r>
    </w:p>
    <w:p>
      <w:pPr>
        <w:pStyle w:val="BodyText"/>
        <w:bidi w:val="0"/>
        <w:jc w:val="start"/>
        <w:rPr/>
      </w:pPr>
      <w:r>
        <w:rPr>
          <w:b/>
        </w:rPr>
        <w:t>Equipo:</w:t>
      </w:r>
      <w:r>
        <w:rPr/>
        <w:t xml:space="preserve"> William Ortiz, Herlin Echeverry, Pablo Arango, Bryan Martinez Villamarin</w:t>
      </w:r>
    </w:p>
    <w:p>
      <w:pPr>
        <w:pStyle w:val="BodyText"/>
        <w:bidi w:val="0"/>
        <w:jc w:val="start"/>
        <w:rPr/>
      </w:pPr>
      <w:r>
        <w:rPr>
          <w:b/>
        </w:rPr>
        <w:t>Reto:</w:t>
      </w:r>
      <w:r>
        <w:rPr/>
        <w:t xml:space="preserve"> RETO-01 Cali Activa: espacios públicos que se transforman para cuidar</w:t>
      </w:r>
    </w:p>
    <w:p>
      <w:pPr>
        <w:pStyle w:val="BodyText"/>
        <w:bidi w:val="0"/>
        <w:jc w:val="start"/>
        <w:rPr/>
      </w:pPr>
      <w:r>
        <w:rPr>
          <w:b/>
        </w:rPr>
        <w:t>Enfoque:</w:t>
      </w:r>
      <w:r>
        <w:rPr/>
        <w:t xml:space="preserve"> plan de contingencia multiamenaza (sismo, inundación y sequía/El Niño) para espacios públicos, con organismos y mecanismos para el antes, el durante y el después.</w:t>
      </w:r>
    </w:p>
    <w:p>
      <w:pPr>
        <w:pStyle w:val="BodyText"/>
        <w:bidi w:val="0"/>
        <w:jc w:val="start"/>
        <w:rPr/>
      </w:pPr>
      <w:r>
        <w:rPr>
          <w:b/>
        </w:rPr>
        <w:t>Última actualización:</w:t>
      </w:r>
      <w:r>
        <w:rPr/>
        <w:t xml:space="preserve"> 8 de octubre de 2026: equipo corregido y prototipo con acceso directo a la simulación.</w:t>
      </w:r>
    </w:p>
    <w:p>
      <w:pPr>
        <w:pStyle w:val="HorizontalLine"/>
        <w:bidi w:val="0"/>
        <w:jc w:val="start"/>
        <w:rPr/>
      </w:pPr>
      <w:r>
        <w:rPr/>
      </w:r>
    </w:p>
    <w:p>
      <w:pPr>
        <w:pStyle w:val="Heading2"/>
        <w:bidi w:val="0"/>
        <w:jc w:val="start"/>
        <w:rPr/>
      </w:pPr>
      <w:r>
        <w:rPr/>
        <w:t>1. Cómo funciona el hackathon</w:t>
      </w:r>
    </w:p>
    <w:p>
      <w:pPr>
        <w:pStyle w:val="BodyText"/>
        <w:bidi w:val="0"/>
        <w:jc w:val="start"/>
        <w:rPr/>
      </w:pPr>
      <w:r>
        <w:rPr>
          <w:b/>
        </w:rPr>
        <w:t>Material fuente:</w:t>
      </w:r>
      <w:r>
        <w:rPr/>
        <w:t xml:space="preserve"> </w:t>
      </w:r>
      <w:r>
        <w:rPr>
          <w:rStyle w:val="SourceText"/>
        </w:rPr>
        <w:t>~/Descargas/SESIÓN 1 - 23 SEPT…zip</w:t>
      </w:r>
      <w:r>
        <w:rPr/>
        <w:t xml:space="preserve">, </w:t>
      </w:r>
      <w:r>
        <w:rPr>
          <w:rStyle w:val="SourceText"/>
        </w:rPr>
        <w:t>SESIÓN 2 - 25 SEPT…zip</w:t>
      </w:r>
      <w:r>
        <w:rPr/>
        <w:t xml:space="preserve"> y </w:t>
      </w:r>
      <w:r>
        <w:rPr>
          <w:rStyle w:val="SourceText"/>
        </w:rPr>
        <w:t>SESIÓN 3 - 26 SEPT…zip</w:t>
      </w:r>
      <w:r>
        <w:rPr/>
        <w:t xml:space="preserve"> (la Sesión 3 venía vacía).</w:t>
      </w:r>
    </w:p>
    <w:tbl>
      <w:tblPr>
        <w:tblW w:w="5464" w:type="dxa"/>
        <w:jc w:val="start"/>
        <w:tblInd w:w="0" w:type="dxa"/>
        <w:tblLayout w:type="fixed"/>
        <w:tblCellMar>
          <w:top w:w="28" w:type="dxa"/>
          <w:start w:w="28" w:type="dxa"/>
          <w:bottom w:w="28" w:type="dxa"/>
          <w:end w:w="28" w:type="dxa"/>
        </w:tblCellMar>
      </w:tblPr>
      <w:tblGrid>
        <w:gridCol w:w="741"/>
        <w:gridCol w:w="911"/>
        <w:gridCol w:w="1214"/>
        <w:gridCol w:w="2598"/>
      </w:tblGrid>
      <w:tr>
        <w:trPr/>
        <w:tc>
          <w:tcPr>
            <w:tcW w:w="741" w:type="dxa"/>
            <w:tcBorders/>
            <w:vAlign w:val="center"/>
          </w:tcPr>
          <w:p>
            <w:pPr>
              <w:pStyle w:val="TableHeading"/>
              <w:suppressLineNumbers/>
              <w:shd w:fill="0B4F6C" w:val="clear"/>
              <w:bidi w:val="0"/>
              <w:spacing w:before="0" w:after="283"/>
              <w:jc w:val="start"/>
              <w:rPr/>
            </w:pPr>
            <w:r>
              <w:rPr/>
              <w:t>Sesión</w:t>
            </w:r>
          </w:p>
        </w:tc>
        <w:tc>
          <w:tcPr>
            <w:tcW w:w="911" w:type="dxa"/>
            <w:tcBorders/>
            <w:vAlign w:val="center"/>
          </w:tcPr>
          <w:p>
            <w:pPr>
              <w:pStyle w:val="TableHeading"/>
              <w:suppressLineNumbers/>
              <w:shd w:fill="0B4F6C" w:val="clear"/>
              <w:bidi w:val="0"/>
              <w:spacing w:before="0" w:after="283"/>
              <w:jc w:val="start"/>
              <w:rPr/>
            </w:pPr>
            <w:r>
              <w:rPr/>
              <w:t>Fecha</w:t>
            </w:r>
          </w:p>
        </w:tc>
        <w:tc>
          <w:tcPr>
            <w:tcW w:w="1214" w:type="dxa"/>
            <w:tcBorders/>
            <w:vAlign w:val="center"/>
          </w:tcPr>
          <w:p>
            <w:pPr>
              <w:pStyle w:val="TableHeading"/>
              <w:suppressLineNumbers/>
              <w:shd w:fill="0B4F6C" w:val="clear"/>
              <w:bidi w:val="0"/>
              <w:spacing w:before="0" w:after="283"/>
              <w:jc w:val="start"/>
              <w:rPr/>
            </w:pPr>
            <w:r>
              <w:rPr/>
              <w:t>Qué se hace</w:t>
            </w:r>
          </w:p>
        </w:tc>
        <w:tc>
          <w:tcPr>
            <w:tcW w:w="2598" w:type="dxa"/>
            <w:tcBorders/>
            <w:vAlign w:val="center"/>
          </w:tcPr>
          <w:p>
            <w:pPr>
              <w:pStyle w:val="TableHeading"/>
              <w:suppressLineNumbers/>
              <w:shd w:fill="0B4F6C" w:val="clear"/>
              <w:bidi w:val="0"/>
              <w:spacing w:before="0" w:after="283"/>
              <w:jc w:val="start"/>
              <w:rPr/>
            </w:pPr>
            <w:r>
              <w:rPr/>
              <w:t>Artefacto</w:t>
            </w:r>
          </w:p>
        </w:tc>
      </w:tr>
      <w:tr>
        <w:trPr/>
        <w:tc>
          <w:tcPr>
            <w:tcW w:w="741" w:type="dxa"/>
            <w:tcBorders/>
            <w:vAlign w:val="center"/>
          </w:tcPr>
          <w:p>
            <w:pPr>
              <w:pStyle w:val="TableContents"/>
              <w:bidi w:val="0"/>
              <w:spacing w:before="0" w:after="283"/>
              <w:jc w:val="start"/>
              <w:rPr/>
            </w:pPr>
            <w:r>
              <w:rPr/>
              <w:t>1</w:t>
            </w:r>
          </w:p>
        </w:tc>
        <w:tc>
          <w:tcPr>
            <w:tcW w:w="911" w:type="dxa"/>
            <w:tcBorders/>
            <w:vAlign w:val="center"/>
          </w:tcPr>
          <w:p>
            <w:pPr>
              <w:pStyle w:val="TableContents"/>
              <w:bidi w:val="0"/>
              <w:spacing w:before="0" w:after="283"/>
              <w:jc w:val="start"/>
              <w:rPr/>
            </w:pPr>
            <w:r>
              <w:rPr/>
              <w:t>Mié 23 sep</w:t>
            </w:r>
          </w:p>
        </w:tc>
        <w:tc>
          <w:tcPr>
            <w:tcW w:w="1214" w:type="dxa"/>
            <w:tcBorders/>
            <w:vAlign w:val="center"/>
          </w:tcPr>
          <w:p>
            <w:pPr>
              <w:pStyle w:val="TableContents"/>
              <w:bidi w:val="0"/>
              <w:spacing w:before="0" w:after="283"/>
              <w:jc w:val="start"/>
              <w:rPr/>
            </w:pPr>
            <w:r>
              <w:rPr/>
              <w:t>Tablero del equipo: roles, frase, lo que sabemos y suponemos, actores, entrevistas</w:t>
            </w:r>
          </w:p>
        </w:tc>
        <w:tc>
          <w:tcPr>
            <w:tcW w:w="2598" w:type="dxa"/>
            <w:tcBorders/>
            <w:vAlign w:val="center"/>
          </w:tcPr>
          <w:p>
            <w:pPr>
              <w:pStyle w:val="TableContents"/>
              <w:bidi w:val="0"/>
              <w:spacing w:before="0" w:after="283"/>
              <w:jc w:val="start"/>
              <w:rPr/>
            </w:pPr>
            <w:r>
              <w:rPr/>
              <w:t xml:space="preserve">Artefacto 1: </w:t>
            </w:r>
            <w:hyperlink r:id="rId2">
              <w:r>
                <w:rPr>
                  <w:rStyle w:val="Hyperlink"/>
                </w:rPr>
                <w:t>https://claude.ai/artifact/LAmBJHeusdaZ48dwDgkpLx</w:t>
              </w:r>
            </w:hyperlink>
          </w:p>
        </w:tc>
      </w:tr>
      <w:tr>
        <w:trPr/>
        <w:tc>
          <w:tcPr>
            <w:tcW w:w="741" w:type="dxa"/>
            <w:tcBorders/>
            <w:vAlign w:val="center"/>
          </w:tcPr>
          <w:p>
            <w:pPr>
              <w:pStyle w:val="TableContents"/>
              <w:bidi w:val="0"/>
              <w:spacing w:before="0" w:after="283"/>
              <w:jc w:val="start"/>
              <w:rPr/>
            </w:pPr>
            <w:r>
              <w:rPr/>
              <w:t>2, bloque 1</w:t>
            </w:r>
          </w:p>
        </w:tc>
        <w:tc>
          <w:tcPr>
            <w:tcW w:w="911" w:type="dxa"/>
            <w:tcBorders/>
            <w:vAlign w:val="center"/>
          </w:tcPr>
          <w:p>
            <w:pPr>
              <w:pStyle w:val="TableContents"/>
              <w:bidi w:val="0"/>
              <w:spacing w:before="0" w:after="283"/>
              <w:jc w:val="start"/>
              <w:rPr/>
            </w:pPr>
            <w:r>
              <w:rPr/>
              <w:t>Vie 25 sep, mañana</w:t>
            </w:r>
          </w:p>
        </w:tc>
        <w:tc>
          <w:tcPr>
            <w:tcW w:w="1214" w:type="dxa"/>
            <w:tcBorders/>
            <w:vAlign w:val="center"/>
          </w:tcPr>
          <w:p>
            <w:pPr>
              <w:pStyle w:val="TableContents"/>
              <w:bidi w:val="0"/>
              <w:spacing w:before="0" w:after="283"/>
              <w:jc w:val="start"/>
              <w:rPr/>
            </w:pPr>
            <w:r>
              <w:rPr/>
              <w:t>Acotar el reto en 6 campos + "¿Cómo podríamos…?"</w:t>
            </w:r>
          </w:p>
        </w:tc>
        <w:tc>
          <w:tcPr>
            <w:tcW w:w="2598" w:type="dxa"/>
            <w:tcBorders/>
            <w:vAlign w:val="center"/>
          </w:tcPr>
          <w:p>
            <w:pPr>
              <w:pStyle w:val="TableContents"/>
              <w:bidi w:val="0"/>
              <w:spacing w:before="0" w:after="283"/>
              <w:jc w:val="start"/>
              <w:rPr/>
            </w:pPr>
            <w:r>
              <w:rPr/>
              <w:t xml:space="preserve">Artefacto 2: </w:t>
            </w:r>
            <w:hyperlink r:id="rId3">
              <w:r>
                <w:rPr>
                  <w:rStyle w:val="Hyperlink"/>
                </w:rPr>
                <w:t>https://claude.ai/artifact/W2gqfgJFZjHU33PMR6Lqmt</w:t>
              </w:r>
            </w:hyperlink>
          </w:p>
        </w:tc>
      </w:tr>
      <w:tr>
        <w:trPr/>
        <w:tc>
          <w:tcPr>
            <w:tcW w:w="741" w:type="dxa"/>
            <w:tcBorders/>
            <w:vAlign w:val="center"/>
          </w:tcPr>
          <w:p>
            <w:pPr>
              <w:pStyle w:val="TableContents"/>
              <w:bidi w:val="0"/>
              <w:spacing w:before="0" w:after="283"/>
              <w:jc w:val="start"/>
              <w:rPr/>
            </w:pPr>
            <w:r>
              <w:rPr/>
              <w:t>2, bloque 2</w:t>
            </w:r>
          </w:p>
        </w:tc>
        <w:tc>
          <w:tcPr>
            <w:tcW w:w="911" w:type="dxa"/>
            <w:tcBorders/>
            <w:vAlign w:val="center"/>
          </w:tcPr>
          <w:p>
            <w:pPr>
              <w:pStyle w:val="TableContents"/>
              <w:bidi w:val="0"/>
              <w:spacing w:before="0" w:after="283"/>
              <w:jc w:val="start"/>
              <w:rPr/>
            </w:pPr>
            <w:r>
              <w:rPr/>
              <w:t>Vie 25 sep, después del almuerzo</w:t>
            </w:r>
          </w:p>
        </w:tc>
        <w:tc>
          <w:tcPr>
            <w:tcW w:w="1214" w:type="dxa"/>
            <w:tcBorders/>
            <w:vAlign w:val="center"/>
          </w:tcPr>
          <w:p>
            <w:pPr>
              <w:pStyle w:val="TableContents"/>
              <w:bidi w:val="0"/>
              <w:spacing w:before="0" w:after="283"/>
              <w:jc w:val="start"/>
              <w:rPr/>
            </w:pPr>
            <w:r>
              <w:rPr/>
              <w:t>Ideación (6 a 8 ideas) y filtro por impacto y factibilidad</w:t>
            </w:r>
          </w:p>
        </w:tc>
        <w:tc>
          <w:tcPr>
            <w:tcW w:w="2598" w:type="dxa"/>
            <w:tcBorders/>
            <w:vAlign w:val="center"/>
          </w:tcPr>
          <w:p>
            <w:pPr>
              <w:pStyle w:val="TableContents"/>
              <w:bidi w:val="0"/>
              <w:spacing w:before="0" w:after="283"/>
              <w:jc w:val="start"/>
              <w:rPr/>
            </w:pPr>
            <w:r>
              <w:rPr/>
              <w:t xml:space="preserve">Artefacto 3: </w:t>
            </w:r>
            <w:hyperlink r:id="rId4">
              <w:r>
                <w:rPr>
                  <w:rStyle w:val="Hyperlink"/>
                </w:rPr>
                <w:t>https://claude.ai/artifact/5Bwp37CYVRW8DypdZdASi8</w:t>
              </w:r>
            </w:hyperlink>
          </w:p>
        </w:tc>
      </w:tr>
      <w:tr>
        <w:trPr/>
        <w:tc>
          <w:tcPr>
            <w:tcW w:w="741" w:type="dxa"/>
            <w:tcBorders/>
            <w:vAlign w:val="center"/>
          </w:tcPr>
          <w:p>
            <w:pPr>
              <w:pStyle w:val="TableContents"/>
              <w:bidi w:val="0"/>
              <w:spacing w:before="0" w:after="283"/>
              <w:jc w:val="start"/>
              <w:rPr/>
            </w:pPr>
            <w:r>
              <w:rPr/>
              <w:t>2, bloque 3</w:t>
            </w:r>
          </w:p>
        </w:tc>
        <w:tc>
          <w:tcPr>
            <w:tcW w:w="911" w:type="dxa"/>
            <w:tcBorders/>
            <w:vAlign w:val="center"/>
          </w:tcPr>
          <w:p>
            <w:pPr>
              <w:pStyle w:val="TableContents"/>
              <w:bidi w:val="0"/>
              <w:spacing w:before="0" w:after="283"/>
              <w:jc w:val="start"/>
              <w:rPr/>
            </w:pPr>
            <w:r>
              <w:rPr/>
              <w:t>Vie 25 sep, tarde</w:t>
            </w:r>
          </w:p>
        </w:tc>
        <w:tc>
          <w:tcPr>
            <w:tcW w:w="1214" w:type="dxa"/>
            <w:tcBorders/>
            <w:vAlign w:val="center"/>
          </w:tcPr>
          <w:p>
            <w:pPr>
              <w:pStyle w:val="TableContents"/>
              <w:bidi w:val="0"/>
              <w:spacing w:before="0" w:after="283"/>
              <w:jc w:val="start"/>
              <w:rPr/>
            </w:pPr>
            <w:r>
              <w:rPr/>
              <w:t>Propuesta de valor, validación, TRL/IRL, plan del prototipo, guion</w:t>
            </w:r>
          </w:p>
        </w:tc>
        <w:tc>
          <w:tcPr>
            <w:tcW w:w="2598" w:type="dxa"/>
            <w:tcBorders/>
            <w:vAlign w:val="center"/>
          </w:tcPr>
          <w:p>
            <w:pPr>
              <w:pStyle w:val="TableContents"/>
              <w:bidi w:val="0"/>
              <w:spacing w:before="0" w:after="283"/>
              <w:jc w:val="start"/>
              <w:rPr/>
            </w:pPr>
            <w:r>
              <w:rPr/>
              <w:t xml:space="preserve">Artefacto 4: </w:t>
            </w:r>
            <w:hyperlink r:id="rId5">
              <w:r>
                <w:rPr>
                  <w:rStyle w:val="Hyperlink"/>
                </w:rPr>
                <w:t>https://claude.ai/artifact/EggcCaEL6xavWRHpkY9KAU</w:t>
              </w:r>
            </w:hyperlink>
          </w:p>
        </w:tc>
      </w:tr>
      <w:tr>
        <w:trPr/>
        <w:tc>
          <w:tcPr>
            <w:tcW w:w="741" w:type="dxa"/>
            <w:tcBorders/>
            <w:vAlign w:val="center"/>
          </w:tcPr>
          <w:p>
            <w:pPr>
              <w:pStyle w:val="TableContents"/>
              <w:bidi w:val="0"/>
              <w:spacing w:before="0" w:after="283"/>
              <w:jc w:val="start"/>
              <w:rPr/>
            </w:pPr>
            <w:r>
              <w:rPr/>
              <w:t>3</w:t>
            </w:r>
          </w:p>
        </w:tc>
        <w:tc>
          <w:tcPr>
            <w:tcW w:w="911" w:type="dxa"/>
            <w:tcBorders/>
            <w:vAlign w:val="center"/>
          </w:tcPr>
          <w:p>
            <w:pPr>
              <w:pStyle w:val="TableContents"/>
              <w:bidi w:val="0"/>
              <w:spacing w:before="0" w:after="283"/>
              <w:jc w:val="start"/>
              <w:rPr/>
            </w:pPr>
            <w:r>
              <w:rPr/>
              <w:t>Sáb 26 sep</w:t>
            </w:r>
          </w:p>
        </w:tc>
        <w:tc>
          <w:tcPr>
            <w:tcW w:w="1214" w:type="dxa"/>
            <w:tcBorders/>
            <w:vAlign w:val="center"/>
          </w:tcPr>
          <w:p>
            <w:pPr>
              <w:pStyle w:val="TableContents"/>
              <w:bidi w:val="0"/>
              <w:spacing w:before="0" w:after="283"/>
              <w:jc w:val="start"/>
              <w:rPr/>
            </w:pPr>
            <w:r>
              <w:rPr/>
              <w:t>Prototipo, pruebas, bitácora y guion de grabación</w:t>
            </w:r>
          </w:p>
        </w:tc>
        <w:tc>
          <w:tcPr>
            <w:tcW w:w="2598" w:type="dxa"/>
            <w:tcBorders/>
            <w:vAlign w:val="center"/>
          </w:tcPr>
          <w:p>
            <w:pPr>
              <w:pStyle w:val="TableContents"/>
              <w:bidi w:val="0"/>
              <w:spacing w:before="0" w:after="283"/>
              <w:jc w:val="start"/>
              <w:rPr/>
            </w:pPr>
            <w:r>
              <w:rPr/>
              <w:t xml:space="preserve">Artefacto 5: </w:t>
            </w:r>
            <w:hyperlink r:id="rId6">
              <w:r>
                <w:rPr>
                  <w:rStyle w:val="Hyperlink"/>
                </w:rPr>
                <w:t>https://claude.ai/artifact/8yLQNLcNt8FF3aMcmewD81</w:t>
              </w:r>
            </w:hyperlink>
          </w:p>
        </w:tc>
      </w:tr>
    </w:tbl>
    <w:p>
      <w:pPr>
        <w:pStyle w:val="BodyText"/>
        <w:bidi w:val="0"/>
        <w:jc w:val="start"/>
        <w:rPr>
          <w:b/>
        </w:rPr>
      </w:pPr>
      <w:r>
        <w:rPr>
          <w:b/>
        </w:rPr>
        <w:t>Reglas clave</w:t>
      </w:r>
    </w:p>
    <w:p>
      <w:pPr>
        <w:pStyle w:val="BodyText"/>
        <w:numPr>
          <w:ilvl w:val="0"/>
          <w:numId w:val="1"/>
        </w:numPr>
        <w:tabs>
          <w:tab w:val="clear" w:pos="1134"/>
          <w:tab w:val="left" w:pos="709" w:leader="none"/>
        </w:tabs>
        <w:bidi w:val="0"/>
        <w:spacing w:before="0" w:after="0"/>
        <w:ind w:hanging="283" w:start="709"/>
        <w:jc w:val="start"/>
        <w:rPr/>
      </w:pPr>
      <w:r>
        <w:rPr/>
        <w:t xml:space="preserve">Cada artefacto recibe el Word del anterior. No editen el Word después de descargarlo. </w:t>
      </w:r>
    </w:p>
    <w:p>
      <w:pPr>
        <w:pStyle w:val="BodyText"/>
        <w:numPr>
          <w:ilvl w:val="0"/>
          <w:numId w:val="1"/>
        </w:numPr>
        <w:tabs>
          <w:tab w:val="clear" w:pos="1134"/>
          <w:tab w:val="left" w:pos="709" w:leader="none"/>
        </w:tabs>
        <w:bidi w:val="0"/>
        <w:spacing w:before="0" w:after="0"/>
        <w:ind w:hanging="283" w:start="709"/>
        <w:jc w:val="start"/>
        <w:rPr/>
      </w:pPr>
      <w:r>
        <w:rPr/>
        <w:t xml:space="preserve">Usen siempre el mismo computador y el mismo navegador (el avance se guarda en localStorage). No usen modo incógnito. </w:t>
      </w:r>
    </w:p>
    <w:p>
      <w:pPr>
        <w:pStyle w:val="BodyText"/>
        <w:numPr>
          <w:ilvl w:val="0"/>
          <w:numId w:val="1"/>
        </w:numPr>
        <w:tabs>
          <w:tab w:val="clear" w:pos="1134"/>
          <w:tab w:val="left" w:pos="709" w:leader="none"/>
        </w:tabs>
        <w:bidi w:val="0"/>
        <w:spacing w:before="0" w:after="0"/>
        <w:ind w:hanging="283" w:start="709"/>
        <w:jc w:val="start"/>
        <w:rPr/>
      </w:pPr>
      <w:r>
        <w:rPr/>
        <w:t xml:space="preserve">Validador adicional (Gema de Gemini): </w:t>
      </w:r>
      <w:hyperlink r:id="rId7">
        <w:r>
          <w:rPr>
            <w:rStyle w:val="Hyperlink"/>
          </w:rPr>
          <w:t>https://gemini.google.com/gem/1Isx0OX0Ap5lmPl5SlM8d4y9KWl9E4dvC?usp=sharing</w:t>
        </w:r>
      </w:hyperlink>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Meta: </w:t>
      </w:r>
      <w:r>
        <w:rPr>
          <w:b/>
        </w:rPr>
        <w:t>TRL 3</w:t>
      </w:r>
      <w:r>
        <w:rPr/>
        <w:t xml:space="preserve"> (prototipo que demuestra la lógica) + </w:t>
      </w:r>
      <w:r>
        <w:rPr>
          <w:b/>
        </w:rPr>
        <w:t>IRL 3</w:t>
      </w:r>
      <w:r>
        <w:rPr/>
        <w:t xml:space="preserve"> (proceso de coordinación validado con actores reales). </w:t>
      </w:r>
    </w:p>
    <w:p>
      <w:pPr>
        <w:pStyle w:val="BodyText"/>
        <w:numPr>
          <w:ilvl w:val="0"/>
          <w:numId w:val="1"/>
        </w:numPr>
        <w:tabs>
          <w:tab w:val="clear" w:pos="1134"/>
          <w:tab w:val="left" w:pos="709" w:leader="none"/>
        </w:tabs>
        <w:bidi w:val="0"/>
        <w:spacing w:before="0" w:after="0"/>
        <w:ind w:hanging="283" w:start="709"/>
        <w:jc w:val="start"/>
        <w:rPr/>
      </w:pPr>
      <w:r>
        <w:rPr/>
        <w:t xml:space="preserve">La solución no tiene que ser una app: puede ser un flujo en Glide o Softr, un tablero en Looker Studio, un Figma o un diagrama de proceso. </w:t>
      </w:r>
    </w:p>
    <w:p>
      <w:pPr>
        <w:pStyle w:val="BodyText"/>
        <w:numPr>
          <w:ilvl w:val="0"/>
          <w:numId w:val="1"/>
        </w:numPr>
        <w:tabs>
          <w:tab w:val="clear" w:pos="1134"/>
          <w:tab w:val="left" w:pos="709" w:leader="none"/>
        </w:tabs>
        <w:bidi w:val="0"/>
        <w:spacing w:before="0" w:after="0"/>
        <w:ind w:hanging="283" w:start="709"/>
        <w:jc w:val="start"/>
        <w:rPr/>
      </w:pPr>
      <w:r>
        <w:rPr>
          <w:b/>
        </w:rPr>
        <w:t>Guion del video (4 min, productora CCC):</w:t>
      </w:r>
      <w:r>
        <w:rPr/>
        <w:t xml:space="preserve"> [00:00–01:00] dolor territorial y cifras · [01:00–02:15] demo en vivo · [02:15–03:15] valor público e IRL 3 · [03:15–04:00] equipo y cierre. </w:t>
      </w:r>
    </w:p>
    <w:p>
      <w:pPr>
        <w:pStyle w:val="BodyText"/>
        <w:numPr>
          <w:ilvl w:val="0"/>
          <w:numId w:val="1"/>
        </w:numPr>
        <w:tabs>
          <w:tab w:val="clear" w:pos="1134"/>
          <w:tab w:val="left" w:pos="709" w:leader="none"/>
        </w:tabs>
        <w:bidi w:val="0"/>
        <w:ind w:hanging="283" w:start="709"/>
        <w:jc w:val="start"/>
        <w:rPr/>
      </w:pPr>
      <w:r>
        <w:rPr/>
        <w:t xml:space="preserve">El entregable final se sube a la carpeta de Drive del hackathon. </w:t>
      </w:r>
    </w:p>
    <w:p>
      <w:pPr>
        <w:pStyle w:val="Heading2"/>
        <w:bidi w:val="0"/>
        <w:jc w:val="start"/>
        <w:rPr/>
      </w:pPr>
      <w:r>
        <w:rPr/>
        <w:t>2. Ficha oficial del RETO-01 (Portafolio de Retos, Alcaldía de Cali, v2.0)</w:t>
      </w:r>
    </w:p>
    <w:p>
      <w:pPr>
        <w:pStyle w:val="BodyText"/>
        <w:numPr>
          <w:ilvl w:val="0"/>
          <w:numId w:val="2"/>
        </w:numPr>
        <w:tabs>
          <w:tab w:val="clear" w:pos="1134"/>
          <w:tab w:val="left" w:pos="709" w:leader="none"/>
        </w:tabs>
        <w:bidi w:val="0"/>
        <w:spacing w:before="0" w:after="0"/>
        <w:ind w:hanging="283" w:start="709"/>
        <w:jc w:val="start"/>
        <w:rPr/>
      </w:pPr>
      <w:r>
        <w:rPr>
          <w:b/>
        </w:rPr>
        <w:t>Owner:</w:t>
      </w:r>
      <w:r>
        <w:rPr/>
        <w:t xml:space="preserve"> Secretaría de Gestión del Riesgo de Emergencias y Desastres (líder funcional) y DATIC (líder técnico). </w:t>
      </w:r>
    </w:p>
    <w:p>
      <w:pPr>
        <w:pStyle w:val="BodyText"/>
        <w:numPr>
          <w:ilvl w:val="0"/>
          <w:numId w:val="2"/>
        </w:numPr>
        <w:tabs>
          <w:tab w:val="clear" w:pos="1134"/>
          <w:tab w:val="left" w:pos="709" w:leader="none"/>
        </w:tabs>
        <w:bidi w:val="0"/>
        <w:spacing w:before="0" w:after="0"/>
        <w:ind w:hanging="283" w:start="709"/>
        <w:jc w:val="start"/>
        <w:rPr/>
      </w:pPr>
      <w:r>
        <w:rPr>
          <w:b/>
        </w:rPr>
        <w:t>Entidades a articular:</w:t>
      </w:r>
      <w:r>
        <w:rPr/>
        <w:t xml:space="preserve"> UAE Gestión de Bienes y Servicios, Secretaría de Infraestructura, Secretaría del Deporte, Secretaría de Seguridad y Justicia, Secretaría de Salud Pública, Secretaría de Bienestar Social, Secretaría de Educación, Planeación, EMCALI, UAESP. </w:t>
      </w:r>
    </w:p>
    <w:p>
      <w:pPr>
        <w:pStyle w:val="BodyText"/>
        <w:numPr>
          <w:ilvl w:val="0"/>
          <w:numId w:val="2"/>
        </w:numPr>
        <w:tabs>
          <w:tab w:val="clear" w:pos="1134"/>
          <w:tab w:val="left" w:pos="709" w:leader="none"/>
        </w:tabs>
        <w:bidi w:val="0"/>
        <w:spacing w:before="0" w:after="0"/>
        <w:ind w:hanging="283" w:start="709"/>
        <w:jc w:val="start"/>
        <w:rPr/>
      </w:pPr>
      <w:r>
        <w:rPr>
          <w:b/>
        </w:rPr>
        <w:t>Pregunta retadora:</w:t>
      </w:r>
      <w:r>
        <w:rPr/>
        <w:t xml:space="preserve"> ¿Cómo podríamos transformar los espacios públicos de Cali en una red adaptable que, según el tipo de emergencia y las necesidades de la población, permita activar y operar de manera segura y coordinada funciones temporales de atención y recuperación, y facilite posteriormente el retorno del espacio a su uso cotidiano? </w:t>
      </w:r>
    </w:p>
    <w:p>
      <w:pPr>
        <w:pStyle w:val="BodyText"/>
        <w:numPr>
          <w:ilvl w:val="0"/>
          <w:numId w:val="2"/>
        </w:numPr>
        <w:tabs>
          <w:tab w:val="clear" w:pos="1134"/>
          <w:tab w:val="left" w:pos="709" w:leader="none"/>
        </w:tabs>
        <w:bidi w:val="0"/>
        <w:spacing w:before="0" w:after="0"/>
        <w:ind w:hanging="283" w:start="709"/>
        <w:jc w:val="start"/>
        <w:rPr/>
      </w:pPr>
      <w:r>
        <w:rPr>
          <w:b/>
        </w:rPr>
        <w:t>Objetivo:</w:t>
      </w:r>
      <w:r>
        <w:rPr/>
        <w:t xml:space="preserve"> un prototipo de baja fidelidad que caracterice espacios, analice su aptitud según el escenario, identifique adecuaciones, active entidades según la población, haga seguimiento y apoye el retorno. </w:t>
      </w:r>
    </w:p>
    <w:p>
      <w:pPr>
        <w:pStyle w:val="BodyText"/>
        <w:numPr>
          <w:ilvl w:val="0"/>
          <w:numId w:val="2"/>
        </w:numPr>
        <w:tabs>
          <w:tab w:val="clear" w:pos="1134"/>
          <w:tab w:val="left" w:pos="709" w:leader="none"/>
        </w:tabs>
        <w:bidi w:val="0"/>
        <w:spacing w:before="0" w:after="0"/>
        <w:ind w:hanging="283" w:start="709"/>
        <w:jc w:val="start"/>
        <w:rPr/>
      </w:pPr>
      <w:r>
        <w:rPr>
          <w:b/>
        </w:rPr>
        <w:t>Indicadores de validación:</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diferenciar la respuesta según el tipo de emergencia; </w:t>
      </w:r>
    </w:p>
    <w:p>
      <w:pPr>
        <w:pStyle w:val="BodyText"/>
        <w:numPr>
          <w:ilvl w:val="0"/>
          <w:numId w:val="2"/>
        </w:numPr>
        <w:tabs>
          <w:tab w:val="clear" w:pos="1134"/>
          <w:tab w:val="left" w:pos="709" w:leader="none"/>
        </w:tabs>
        <w:bidi w:val="0"/>
        <w:spacing w:before="0" w:after="0"/>
        <w:ind w:hanging="283" w:start="709"/>
        <w:jc w:val="start"/>
        <w:rPr/>
      </w:pPr>
      <w:r>
        <w:rPr/>
        <w:t xml:space="preserve">número de variables de preparación; </w:t>
      </w:r>
    </w:p>
    <w:p>
      <w:pPr>
        <w:pStyle w:val="BodyText"/>
        <w:numPr>
          <w:ilvl w:val="0"/>
          <w:numId w:val="2"/>
        </w:numPr>
        <w:tabs>
          <w:tab w:val="clear" w:pos="1134"/>
          <w:tab w:val="left" w:pos="709" w:leader="none"/>
        </w:tabs>
        <w:bidi w:val="0"/>
        <w:spacing w:before="0" w:after="0"/>
        <w:ind w:hanging="283" w:start="709"/>
        <w:jc w:val="start"/>
        <w:rPr/>
      </w:pPr>
      <w:r>
        <w:rPr/>
        <w:t xml:space="preserve">capacidad de identificar brechas; </w:t>
      </w:r>
    </w:p>
    <w:p>
      <w:pPr>
        <w:pStyle w:val="BodyText"/>
        <w:numPr>
          <w:ilvl w:val="0"/>
          <w:numId w:val="2"/>
        </w:numPr>
        <w:tabs>
          <w:tab w:val="clear" w:pos="1134"/>
          <w:tab w:val="left" w:pos="709" w:leader="none"/>
        </w:tabs>
        <w:bidi w:val="0"/>
        <w:spacing w:before="0" w:after="0"/>
        <w:ind w:hanging="283" w:start="709"/>
        <w:jc w:val="start"/>
        <w:rPr/>
      </w:pPr>
      <w:r>
        <w:rPr/>
        <w:t xml:space="preserve">trazabilidad necesidad → servicio → entidad; </w:t>
      </w:r>
    </w:p>
    <w:p>
      <w:pPr>
        <w:pStyle w:val="BodyText"/>
        <w:numPr>
          <w:ilvl w:val="0"/>
          <w:numId w:val="2"/>
        </w:numPr>
        <w:tabs>
          <w:tab w:val="clear" w:pos="1134"/>
          <w:tab w:val="left" w:pos="709" w:leader="none"/>
        </w:tabs>
        <w:bidi w:val="0"/>
        <w:spacing w:before="0" w:after="0"/>
        <w:ind w:hanging="283" w:start="709"/>
        <w:jc w:val="start"/>
        <w:rPr/>
      </w:pPr>
      <w:r>
        <w:rPr/>
        <w:t xml:space="preserve">tiempo para generar una propuesta de activación en un escenario simulado; </w:t>
      </w:r>
    </w:p>
    <w:p>
      <w:pPr>
        <w:pStyle w:val="BodyText"/>
        <w:numPr>
          <w:ilvl w:val="0"/>
          <w:numId w:val="2"/>
        </w:numPr>
        <w:tabs>
          <w:tab w:val="clear" w:pos="1134"/>
          <w:tab w:val="left" w:pos="709" w:leader="none"/>
        </w:tabs>
        <w:bidi w:val="0"/>
        <w:spacing w:before="0" w:after="0"/>
        <w:ind w:hanging="283" w:start="709"/>
        <w:jc w:val="start"/>
        <w:rPr/>
      </w:pPr>
      <w:r>
        <w:rPr/>
        <w:t xml:space="preserve">representar el ciclo completo, de la preparación a la recuperación. </w:t>
      </w:r>
    </w:p>
    <w:p>
      <w:pPr>
        <w:pStyle w:val="BodyText"/>
        <w:numPr>
          <w:ilvl w:val="0"/>
          <w:numId w:val="2"/>
        </w:numPr>
        <w:tabs>
          <w:tab w:val="clear" w:pos="1134"/>
          <w:tab w:val="left" w:pos="709" w:leader="none"/>
        </w:tabs>
        <w:bidi w:val="0"/>
        <w:spacing w:before="0" w:after="0"/>
        <w:ind w:hanging="283" w:start="709"/>
        <w:jc w:val="start"/>
        <w:rPr/>
      </w:pPr>
      <w:r>
        <w:rPr>
          <w:b/>
        </w:rPr>
        <w:t>Líneas rojas:</w:t>
      </w:r>
      <w:r>
        <w:rPr/>
        <w:t xml:space="preserve"> no reemplazar evaluaciones estructurales, conceptos técnicos de seguridad ni decisiones de autoridades; no invadir competencias de bomberos; privacidad y datos mínimos; sin reconocimiento facial ni identificación individual innecesaria; recomendaciones automáticas que se puedan entender, con criterios visibles. </w:t>
      </w:r>
    </w:p>
    <w:p>
      <w:pPr>
        <w:pStyle w:val="BodyText"/>
        <w:numPr>
          <w:ilvl w:val="0"/>
          <w:numId w:val="2"/>
        </w:numPr>
        <w:tabs>
          <w:tab w:val="clear" w:pos="1134"/>
          <w:tab w:val="left" w:pos="709" w:leader="none"/>
        </w:tabs>
        <w:bidi w:val="0"/>
        <w:ind w:hanging="283" w:start="709"/>
        <w:jc w:val="start"/>
        <w:rPr/>
      </w:pPr>
      <w:r>
        <w:rPr>
          <w:b/>
        </w:rPr>
        <w:t>Tecnologías sugeridas:</w:t>
      </w:r>
      <w:r>
        <w:rPr/>
        <w:t xml:space="preserve"> SIG, No-Code/Low-Code, IA y analítica, IoT, tableros, apps web o móviles, gestión de incidencias, conectividad resiliente. </w:t>
      </w:r>
    </w:p>
    <w:p>
      <w:pPr>
        <w:pStyle w:val="Heading2"/>
        <w:bidi w:val="0"/>
        <w:jc w:val="start"/>
        <w:rPr/>
      </w:pPr>
      <w:r>
        <w:rPr/>
        <w:t>3. Competencia (tableros del artefacto 1)</w:t>
      </w:r>
    </w:p>
    <w:tbl>
      <w:tblPr>
        <w:tblW w:w="5464" w:type="dxa"/>
        <w:jc w:val="start"/>
        <w:tblInd w:w="0" w:type="dxa"/>
        <w:tblLayout w:type="fixed"/>
        <w:tblCellMar>
          <w:top w:w="28" w:type="dxa"/>
          <w:start w:w="28" w:type="dxa"/>
          <w:bottom w:w="28" w:type="dxa"/>
          <w:end w:w="28" w:type="dxa"/>
        </w:tblCellMar>
      </w:tblPr>
      <w:tblGrid>
        <w:gridCol w:w="676"/>
        <w:gridCol w:w="4788"/>
      </w:tblGrid>
      <w:tr>
        <w:trPr/>
        <w:tc>
          <w:tcPr>
            <w:tcW w:w="676" w:type="dxa"/>
            <w:tcBorders/>
            <w:vAlign w:val="center"/>
          </w:tcPr>
          <w:p>
            <w:pPr>
              <w:pStyle w:val="TableHeading"/>
              <w:suppressLineNumbers/>
              <w:shd w:fill="0B4F6C" w:val="clear"/>
              <w:bidi w:val="0"/>
              <w:spacing w:before="0" w:after="283"/>
              <w:jc w:val="start"/>
              <w:rPr/>
            </w:pPr>
            <w:r>
              <w:rPr/>
              <w:t>Reto</w:t>
            </w:r>
          </w:p>
        </w:tc>
        <w:tc>
          <w:tcPr>
            <w:tcW w:w="4788" w:type="dxa"/>
            <w:tcBorders/>
            <w:vAlign w:val="center"/>
          </w:tcPr>
          <w:p>
            <w:pPr>
              <w:pStyle w:val="TableHeading"/>
              <w:suppressLineNumbers/>
              <w:shd w:fill="0B4F6C" w:val="clear"/>
              <w:bidi w:val="0"/>
              <w:spacing w:before="0" w:after="283"/>
              <w:jc w:val="start"/>
              <w:rPr/>
            </w:pPr>
            <w:r>
              <w:rPr/>
              <w:t>Equipos</w:t>
            </w:r>
          </w:p>
        </w:tc>
      </w:tr>
      <w:tr>
        <w:trPr/>
        <w:tc>
          <w:tcPr>
            <w:tcW w:w="676" w:type="dxa"/>
            <w:tcBorders/>
            <w:vAlign w:val="center"/>
          </w:tcPr>
          <w:p>
            <w:pPr>
              <w:pStyle w:val="TableContents"/>
              <w:bidi w:val="0"/>
              <w:spacing w:before="0" w:after="283"/>
              <w:jc w:val="start"/>
              <w:rPr/>
            </w:pPr>
            <w:r>
              <w:rPr/>
              <w:t>RETO-01 (~7)</w:t>
            </w:r>
          </w:p>
        </w:tc>
        <w:tc>
          <w:tcPr>
            <w:tcW w:w="4788" w:type="dxa"/>
            <w:tcBorders/>
            <w:vAlign w:val="center"/>
          </w:tcPr>
          <w:p>
            <w:pPr>
              <w:pStyle w:val="TableContents"/>
              <w:bidi w:val="0"/>
              <w:spacing w:before="0" w:after="283"/>
              <w:jc w:val="start"/>
              <w:rPr/>
            </w:pPr>
            <w:r>
              <w:rPr/>
              <w:t>CityVe (condiciones sanitarias), Certeza (agenda social y percepción de inseguridad), Ecosistema Creativo (zonas afectadas y zonas seguras en tiempo real), Revo HUD (motociclistas), CityBeam (mobiliario urbano y paredes interactivas), Nature Intelligence (alertas de incendios satelitales), Aerostatic (comunicación entre comunidad e instituciones)</w:t>
            </w:r>
          </w:p>
        </w:tc>
      </w:tr>
      <w:tr>
        <w:trPr/>
        <w:tc>
          <w:tcPr>
            <w:tcW w:w="676" w:type="dxa"/>
            <w:tcBorders/>
            <w:vAlign w:val="center"/>
          </w:tcPr>
          <w:p>
            <w:pPr>
              <w:pStyle w:val="TableContents"/>
              <w:bidi w:val="0"/>
              <w:spacing w:before="0" w:after="283"/>
              <w:jc w:val="start"/>
              <w:rPr/>
            </w:pPr>
            <w:r>
              <w:rPr/>
              <w:t>RETO-02 (~8)</w:t>
            </w:r>
          </w:p>
        </w:tc>
        <w:tc>
          <w:tcPr>
            <w:tcW w:w="4788" w:type="dxa"/>
            <w:tcBorders/>
            <w:vAlign w:val="center"/>
          </w:tcPr>
          <w:p>
            <w:pPr>
              <w:pStyle w:val="TableContents"/>
              <w:bidi w:val="0"/>
              <w:spacing w:before="0" w:after="283"/>
              <w:jc w:val="start"/>
              <w:rPr/>
            </w:pPr>
            <w:r>
              <w:rPr/>
              <w:t>VUM, Páramo Digital, DoTech, La Maleta, Alfaworks, Factura Clara, toderosfynd, (Certeza Fintech)</w:t>
            </w:r>
          </w:p>
        </w:tc>
      </w:tr>
      <w:tr>
        <w:trPr/>
        <w:tc>
          <w:tcPr>
            <w:tcW w:w="676" w:type="dxa"/>
            <w:tcBorders/>
            <w:vAlign w:val="center"/>
          </w:tcPr>
          <w:p>
            <w:pPr>
              <w:pStyle w:val="TableContents"/>
              <w:bidi w:val="0"/>
              <w:spacing w:before="0" w:after="283"/>
              <w:jc w:val="start"/>
              <w:rPr/>
            </w:pPr>
            <w:r>
              <w:rPr/>
              <w:t>RETO-03 (3)</w:t>
            </w:r>
          </w:p>
        </w:tc>
        <w:tc>
          <w:tcPr>
            <w:tcW w:w="4788" w:type="dxa"/>
            <w:tcBorders/>
            <w:vAlign w:val="center"/>
          </w:tcPr>
          <w:p>
            <w:pPr>
              <w:pStyle w:val="TableContents"/>
              <w:bidi w:val="0"/>
              <w:spacing w:before="0" w:after="283"/>
              <w:jc w:val="start"/>
              <w:rPr/>
            </w:pPr>
            <w:r>
              <w:rPr/>
              <w:t>Dedsec, Mentes en Movimiento, TriAI</w:t>
            </w:r>
          </w:p>
        </w:tc>
      </w:tr>
    </w:tbl>
    <w:p>
      <w:pPr>
        <w:pStyle w:val="BodyText"/>
        <w:bidi w:val="0"/>
        <w:jc w:val="start"/>
        <w:rPr/>
      </w:pPr>
      <w:r>
        <w:rPr>
          <w:b/>
        </w:rPr>
        <w:t>Qué nos diferencia:</w:t>
      </w:r>
      <w:r>
        <w:rPr/>
        <w:t xml:space="preserve"> ningún equipo trabaja el enfoque </w:t>
      </w:r>
      <w:r>
        <w:rPr>
          <w:b/>
        </w:rPr>
        <w:t>multiamenaza</w:t>
      </w:r>
      <w:r>
        <w:rPr/>
        <w:t xml:space="preserve"> (que la aptitud de un espacio dependa del tipo de amenaza), ni la </w:t>
      </w:r>
      <w:r>
        <w:rPr>
          <w:b/>
        </w:rPr>
        <w:t>matriz de quién responde por cada servicio</w:t>
      </w:r>
      <w:r>
        <w:rPr/>
        <w:t xml:space="preserve">, ni la inclusión de los </w:t>
      </w:r>
      <w:r>
        <w:rPr>
          <w:b/>
        </w:rPr>
        <w:t>albergues autogestionados</w:t>
      </w:r>
      <w:r>
        <w:rPr/>
        <w:t>.</w:t>
      </w:r>
    </w:p>
    <w:p>
      <w:pPr>
        <w:pStyle w:val="Heading2"/>
        <w:bidi w:val="0"/>
        <w:jc w:val="start"/>
        <w:rPr/>
      </w:pPr>
      <w:r>
        <w:rPr/>
        <w:t>4. Marco legal y normativo colombiano (filtro obligatorio)</w:t>
      </w:r>
    </w:p>
    <w:p>
      <w:pPr>
        <w:pStyle w:val="BlockQuotation"/>
        <w:bidi w:val="0"/>
        <w:jc w:val="start"/>
        <w:rPr/>
      </w:pPr>
      <w:r>
        <w:rPr/>
        <w:t>Las normas marcadas con (verificar) hay que confirmarlas en la Función Pública o la SIC antes de citarlas en el video o la bitácora.</w:t>
      </w:r>
    </w:p>
    <w:p>
      <w:pPr>
        <w:pStyle w:val="Heading3"/>
        <w:bidi w:val="0"/>
        <w:jc w:val="start"/>
        <w:rPr/>
      </w:pPr>
      <w:r>
        <w:rPr/>
        <w:t>Transversal</w:t>
      </w:r>
    </w:p>
    <w:tbl>
      <w:tblPr>
        <w:tblW w:w="5464" w:type="dxa"/>
        <w:jc w:val="start"/>
        <w:tblInd w:w="0" w:type="dxa"/>
        <w:tblLayout w:type="fixed"/>
        <w:tblCellMar>
          <w:top w:w="28" w:type="dxa"/>
          <w:start w:w="28" w:type="dxa"/>
          <w:bottom w:w="28" w:type="dxa"/>
          <w:end w:w="28" w:type="dxa"/>
        </w:tblCellMar>
      </w:tblPr>
      <w:tblGrid>
        <w:gridCol w:w="1366"/>
        <w:gridCol w:w="1776"/>
        <w:gridCol w:w="2322"/>
      </w:tblGrid>
      <w:tr>
        <w:trPr/>
        <w:tc>
          <w:tcPr>
            <w:tcW w:w="1366" w:type="dxa"/>
            <w:tcBorders/>
            <w:vAlign w:val="center"/>
          </w:tcPr>
          <w:p>
            <w:pPr>
              <w:pStyle w:val="TableHeading"/>
              <w:suppressLineNumbers/>
              <w:shd w:fill="0B4F6C" w:val="clear"/>
              <w:bidi w:val="0"/>
              <w:spacing w:before="0" w:after="283"/>
              <w:jc w:val="start"/>
              <w:rPr/>
            </w:pPr>
            <w:r>
              <w:rPr/>
              <w:t>Tema</w:t>
            </w:r>
          </w:p>
        </w:tc>
        <w:tc>
          <w:tcPr>
            <w:tcW w:w="1776" w:type="dxa"/>
            <w:tcBorders/>
            <w:vAlign w:val="center"/>
          </w:tcPr>
          <w:p>
            <w:pPr>
              <w:pStyle w:val="TableHeading"/>
              <w:suppressLineNumbers/>
              <w:shd w:fill="0B4F6C" w:val="clear"/>
              <w:bidi w:val="0"/>
              <w:spacing w:before="0" w:after="283"/>
              <w:jc w:val="start"/>
              <w:rPr/>
            </w:pPr>
            <w:r>
              <w:rPr/>
              <w:t>Norma</w:t>
            </w:r>
          </w:p>
        </w:tc>
        <w:tc>
          <w:tcPr>
            <w:tcW w:w="2322" w:type="dxa"/>
            <w:tcBorders/>
            <w:vAlign w:val="center"/>
          </w:tcPr>
          <w:p>
            <w:pPr>
              <w:pStyle w:val="TableHeading"/>
              <w:suppressLineNumbers/>
              <w:shd w:fill="0B4F6C" w:val="clear"/>
              <w:bidi w:val="0"/>
              <w:spacing w:before="0" w:after="283"/>
              <w:jc w:val="start"/>
              <w:rPr/>
            </w:pPr>
            <w:r>
              <w:rPr/>
              <w:t>Qué nos exige</w:t>
            </w:r>
          </w:p>
        </w:tc>
      </w:tr>
      <w:tr>
        <w:trPr/>
        <w:tc>
          <w:tcPr>
            <w:tcW w:w="1366" w:type="dxa"/>
            <w:tcBorders/>
            <w:vAlign w:val="center"/>
          </w:tcPr>
          <w:p>
            <w:pPr>
              <w:pStyle w:val="TableContents"/>
              <w:bidi w:val="0"/>
              <w:spacing w:before="0" w:after="283"/>
              <w:jc w:val="start"/>
              <w:rPr/>
            </w:pPr>
            <w:r>
              <w:rPr/>
              <w:t>Datos personales</w:t>
            </w:r>
          </w:p>
        </w:tc>
        <w:tc>
          <w:tcPr>
            <w:tcW w:w="1776" w:type="dxa"/>
            <w:tcBorders/>
            <w:vAlign w:val="center"/>
          </w:tcPr>
          <w:p>
            <w:pPr>
              <w:pStyle w:val="TableContents"/>
              <w:bidi w:val="0"/>
              <w:spacing w:before="0" w:after="283"/>
              <w:jc w:val="start"/>
              <w:rPr/>
            </w:pPr>
            <w:r>
              <w:rPr/>
              <w:t>Ley 1581 de 2012; Decreto 1377 de 2013 (compilado en el Decreto 1074 de 2015)</w:t>
            </w:r>
          </w:p>
        </w:tc>
        <w:tc>
          <w:tcPr>
            <w:tcW w:w="2322" w:type="dxa"/>
            <w:tcBorders/>
            <w:vAlign w:val="center"/>
          </w:tcPr>
          <w:p>
            <w:pPr>
              <w:pStyle w:val="TableContents"/>
              <w:bidi w:val="0"/>
              <w:spacing w:before="0" w:after="283"/>
              <w:jc w:val="start"/>
              <w:rPr/>
            </w:pPr>
            <w:r>
              <w:rPr/>
              <w:t>Autorización previa, expresa e informada; aviso de privacidad; pedir solo lo necesario y usarlo solo para el fin declarado</w:t>
            </w:r>
          </w:p>
        </w:tc>
      </w:tr>
      <w:tr>
        <w:trPr/>
        <w:tc>
          <w:tcPr>
            <w:tcW w:w="1366" w:type="dxa"/>
            <w:tcBorders/>
            <w:vAlign w:val="center"/>
          </w:tcPr>
          <w:p>
            <w:pPr>
              <w:pStyle w:val="TableContents"/>
              <w:bidi w:val="0"/>
              <w:spacing w:before="0" w:after="283"/>
              <w:jc w:val="start"/>
              <w:rPr/>
            </w:pPr>
            <w:r>
              <w:rPr/>
              <w:t>Datos sensibles</w:t>
            </w:r>
          </w:p>
        </w:tc>
        <w:tc>
          <w:tcPr>
            <w:tcW w:w="1776" w:type="dxa"/>
            <w:tcBorders/>
            <w:vAlign w:val="center"/>
          </w:tcPr>
          <w:p>
            <w:pPr>
              <w:pStyle w:val="TableContents"/>
              <w:bidi w:val="0"/>
              <w:spacing w:before="0" w:after="283"/>
              <w:jc w:val="start"/>
              <w:rPr/>
            </w:pPr>
            <w:r>
              <w:rPr/>
              <w:t>Ley 1581, arts. 5 y 6</w:t>
            </w:r>
          </w:p>
        </w:tc>
        <w:tc>
          <w:tcPr>
            <w:tcW w:w="2322" w:type="dxa"/>
            <w:tcBorders/>
            <w:vAlign w:val="center"/>
          </w:tcPr>
          <w:p>
            <w:pPr>
              <w:pStyle w:val="TableContents"/>
              <w:bidi w:val="0"/>
              <w:spacing w:before="0" w:after="283"/>
              <w:jc w:val="start"/>
              <w:rPr/>
            </w:pPr>
            <w:r>
              <w:rPr/>
              <w:t>Salud, discapacidad y etnia: respuesta siempre opcional</w:t>
            </w:r>
          </w:p>
        </w:tc>
      </w:tr>
      <w:tr>
        <w:trPr/>
        <w:tc>
          <w:tcPr>
            <w:tcW w:w="1366" w:type="dxa"/>
            <w:tcBorders/>
            <w:vAlign w:val="center"/>
          </w:tcPr>
          <w:p>
            <w:pPr>
              <w:pStyle w:val="TableContents"/>
              <w:bidi w:val="0"/>
              <w:spacing w:before="0" w:after="283"/>
              <w:jc w:val="start"/>
              <w:rPr/>
            </w:pPr>
            <w:r>
              <w:rPr/>
              <w:t>Menores</w:t>
            </w:r>
          </w:p>
        </w:tc>
        <w:tc>
          <w:tcPr>
            <w:tcW w:w="1776" w:type="dxa"/>
            <w:tcBorders/>
            <w:vAlign w:val="center"/>
          </w:tcPr>
          <w:p>
            <w:pPr>
              <w:pStyle w:val="TableContents"/>
              <w:bidi w:val="0"/>
              <w:spacing w:before="0" w:after="283"/>
              <w:jc w:val="start"/>
              <w:rPr/>
            </w:pPr>
            <w:r>
              <w:rPr/>
              <w:t>Ley 1581, art. 7; Ley 1098 de 2006</w:t>
            </w:r>
          </w:p>
        </w:tc>
        <w:tc>
          <w:tcPr>
            <w:tcW w:w="2322" w:type="dxa"/>
            <w:tcBorders/>
            <w:vAlign w:val="center"/>
          </w:tcPr>
          <w:p>
            <w:pPr>
              <w:pStyle w:val="TableContents"/>
              <w:bidi w:val="0"/>
              <w:spacing w:before="0" w:after="283"/>
              <w:jc w:val="start"/>
              <w:rPr/>
            </w:pPr>
            <w:r>
              <w:rPr/>
              <w:t>Solo datos agregados; nunca identificar a menores</w:t>
            </w:r>
          </w:p>
        </w:tc>
      </w:tr>
      <w:tr>
        <w:trPr/>
        <w:tc>
          <w:tcPr>
            <w:tcW w:w="1366" w:type="dxa"/>
            <w:tcBorders/>
            <w:vAlign w:val="center"/>
          </w:tcPr>
          <w:p>
            <w:pPr>
              <w:pStyle w:val="TableContents"/>
              <w:bidi w:val="0"/>
              <w:spacing w:before="0" w:after="283"/>
              <w:jc w:val="start"/>
              <w:rPr/>
            </w:pPr>
            <w:r>
              <w:rPr/>
              <w:t>IA</w:t>
            </w:r>
          </w:p>
        </w:tc>
        <w:tc>
          <w:tcPr>
            <w:tcW w:w="1776" w:type="dxa"/>
            <w:tcBorders/>
            <w:vAlign w:val="center"/>
          </w:tcPr>
          <w:p>
            <w:pPr>
              <w:pStyle w:val="TableContents"/>
              <w:bidi w:val="0"/>
              <w:spacing w:before="0" w:after="283"/>
              <w:jc w:val="start"/>
              <w:rPr/>
            </w:pPr>
            <w:r>
              <w:rPr/>
              <w:t>Circular SIC 002 de 2024 (verificar); CONPES 4144 de 2025 (verificar)</w:t>
            </w:r>
          </w:p>
        </w:tc>
        <w:tc>
          <w:tcPr>
            <w:tcW w:w="2322" w:type="dxa"/>
            <w:tcBorders/>
            <w:vAlign w:val="center"/>
          </w:tcPr>
          <w:p>
            <w:pPr>
              <w:pStyle w:val="TableContents"/>
              <w:bidi w:val="0"/>
              <w:spacing w:before="0" w:after="283"/>
              <w:jc w:val="start"/>
              <w:rPr/>
            </w:pPr>
            <w:r>
              <w:rPr/>
              <w:t>IA explicable; la decisión final la toma una persona; no enviar datos personales reales a modelos externos</w:t>
            </w:r>
          </w:p>
        </w:tc>
      </w:tr>
      <w:tr>
        <w:trPr/>
        <w:tc>
          <w:tcPr>
            <w:tcW w:w="1366" w:type="dxa"/>
            <w:tcBorders/>
            <w:vAlign w:val="center"/>
          </w:tcPr>
          <w:p>
            <w:pPr>
              <w:pStyle w:val="TableContents"/>
              <w:bidi w:val="0"/>
              <w:spacing w:before="0" w:after="283"/>
              <w:jc w:val="start"/>
              <w:rPr/>
            </w:pPr>
            <w:r>
              <w:rPr/>
              <w:t>Transparencia</w:t>
            </w:r>
          </w:p>
        </w:tc>
        <w:tc>
          <w:tcPr>
            <w:tcW w:w="1776" w:type="dxa"/>
            <w:tcBorders/>
            <w:vAlign w:val="center"/>
          </w:tcPr>
          <w:p>
            <w:pPr>
              <w:pStyle w:val="TableContents"/>
              <w:bidi w:val="0"/>
              <w:spacing w:before="0" w:after="283"/>
              <w:jc w:val="start"/>
              <w:rPr/>
            </w:pPr>
            <w:r>
              <w:rPr/>
              <w:t>Ley 1712 de 2014</w:t>
            </w:r>
          </w:p>
        </w:tc>
        <w:tc>
          <w:tcPr>
            <w:tcW w:w="2322" w:type="dxa"/>
            <w:tcBorders/>
            <w:vAlign w:val="center"/>
          </w:tcPr>
          <w:p>
            <w:pPr>
              <w:pStyle w:val="TableContents"/>
              <w:bidi w:val="0"/>
              <w:spacing w:before="0" w:after="283"/>
              <w:jc w:val="start"/>
              <w:rPr/>
            </w:pPr>
            <w:r>
              <w:rPr/>
              <w:t>Criterios que se puedan publicar; usar datos abiertos</w:t>
            </w:r>
          </w:p>
        </w:tc>
      </w:tr>
      <w:tr>
        <w:trPr/>
        <w:tc>
          <w:tcPr>
            <w:tcW w:w="1366" w:type="dxa"/>
            <w:tcBorders/>
            <w:vAlign w:val="center"/>
          </w:tcPr>
          <w:p>
            <w:pPr>
              <w:pStyle w:val="TableContents"/>
              <w:bidi w:val="0"/>
              <w:spacing w:before="0" w:after="283"/>
              <w:jc w:val="start"/>
              <w:rPr/>
            </w:pPr>
            <w:r>
              <w:rPr/>
              <w:t>Gobierno digital</w:t>
            </w:r>
          </w:p>
        </w:tc>
        <w:tc>
          <w:tcPr>
            <w:tcW w:w="1776" w:type="dxa"/>
            <w:tcBorders/>
            <w:vAlign w:val="center"/>
          </w:tcPr>
          <w:p>
            <w:pPr>
              <w:pStyle w:val="TableContents"/>
              <w:bidi w:val="0"/>
              <w:spacing w:before="0" w:after="283"/>
              <w:jc w:val="start"/>
              <w:rPr/>
            </w:pPr>
            <w:r>
              <w:rPr/>
              <w:t>Decreto 767 de 2022; MSPI de MinTIC</w:t>
            </w:r>
          </w:p>
        </w:tc>
        <w:tc>
          <w:tcPr>
            <w:tcW w:w="2322" w:type="dxa"/>
            <w:tcBorders/>
            <w:vAlign w:val="center"/>
          </w:tcPr>
          <w:p>
            <w:pPr>
              <w:pStyle w:val="TableContents"/>
              <w:bidi w:val="0"/>
              <w:spacing w:before="0" w:after="283"/>
              <w:jc w:val="start"/>
              <w:rPr/>
            </w:pPr>
            <w:r>
              <w:rPr/>
              <w:t>Solución web, interoperable, con seguridad y privacidad desde el diseño</w:t>
            </w:r>
          </w:p>
        </w:tc>
      </w:tr>
      <w:tr>
        <w:trPr/>
        <w:tc>
          <w:tcPr>
            <w:tcW w:w="1366" w:type="dxa"/>
            <w:tcBorders/>
            <w:vAlign w:val="center"/>
          </w:tcPr>
          <w:p>
            <w:pPr>
              <w:pStyle w:val="TableContents"/>
              <w:bidi w:val="0"/>
              <w:spacing w:before="0" w:after="283"/>
              <w:jc w:val="start"/>
              <w:rPr/>
            </w:pPr>
            <w:r>
              <w:rPr/>
              <w:t>Accesibilidad</w:t>
            </w:r>
          </w:p>
        </w:tc>
        <w:tc>
          <w:tcPr>
            <w:tcW w:w="1776" w:type="dxa"/>
            <w:tcBorders/>
            <w:vAlign w:val="center"/>
          </w:tcPr>
          <w:p>
            <w:pPr>
              <w:pStyle w:val="TableContents"/>
              <w:bidi w:val="0"/>
              <w:spacing w:before="0" w:after="283"/>
              <w:jc w:val="start"/>
              <w:rPr/>
            </w:pPr>
            <w:r>
              <w:rPr/>
              <w:t>Resolución MinTIC 1519 de 2020 (WCAG 2.1 AA); Ley 1618 de 2013</w:t>
            </w:r>
          </w:p>
        </w:tc>
        <w:tc>
          <w:tcPr>
            <w:tcW w:w="2322" w:type="dxa"/>
            <w:tcBorders/>
            <w:vAlign w:val="center"/>
          </w:tcPr>
          <w:p>
            <w:pPr>
              <w:pStyle w:val="TableContents"/>
              <w:bidi w:val="0"/>
              <w:spacing w:before="0" w:after="283"/>
              <w:jc w:val="start"/>
              <w:rPr/>
            </w:pPr>
            <w:r>
              <w:rPr/>
              <w:t>Contraste, lectura en pantalla, lenguaje claro</w:t>
            </w:r>
          </w:p>
        </w:tc>
      </w:tr>
      <w:tr>
        <w:trPr/>
        <w:tc>
          <w:tcPr>
            <w:tcW w:w="1366" w:type="dxa"/>
            <w:tcBorders/>
            <w:vAlign w:val="center"/>
          </w:tcPr>
          <w:p>
            <w:pPr>
              <w:pStyle w:val="TableContents"/>
              <w:bidi w:val="0"/>
              <w:spacing w:before="0" w:after="283"/>
              <w:jc w:val="start"/>
              <w:rPr/>
            </w:pPr>
            <w:r>
              <w:rPr/>
              <w:t>Mensajes de datos</w:t>
            </w:r>
          </w:p>
        </w:tc>
        <w:tc>
          <w:tcPr>
            <w:tcW w:w="1776" w:type="dxa"/>
            <w:tcBorders/>
            <w:vAlign w:val="center"/>
          </w:tcPr>
          <w:p>
            <w:pPr>
              <w:pStyle w:val="TableContents"/>
              <w:bidi w:val="0"/>
              <w:spacing w:before="0" w:after="283"/>
              <w:jc w:val="start"/>
              <w:rPr/>
            </w:pPr>
            <w:r>
              <w:rPr/>
              <w:t>Ley 527 de 1999</w:t>
            </w:r>
          </w:p>
        </w:tc>
        <w:tc>
          <w:tcPr>
            <w:tcW w:w="2322" w:type="dxa"/>
            <w:tcBorders/>
            <w:vAlign w:val="center"/>
          </w:tcPr>
          <w:p>
            <w:pPr>
              <w:pStyle w:val="TableContents"/>
              <w:bidi w:val="0"/>
              <w:spacing w:before="0" w:after="283"/>
              <w:jc w:val="start"/>
              <w:rPr/>
            </w:pPr>
            <w:r>
              <w:rPr/>
              <w:t>Validez de los registros digitales</w:t>
            </w:r>
          </w:p>
        </w:tc>
      </w:tr>
      <w:tr>
        <w:trPr/>
        <w:tc>
          <w:tcPr>
            <w:tcW w:w="1366" w:type="dxa"/>
            <w:tcBorders/>
            <w:vAlign w:val="center"/>
          </w:tcPr>
          <w:p>
            <w:pPr>
              <w:pStyle w:val="TableContents"/>
              <w:bidi w:val="0"/>
              <w:spacing w:before="0" w:after="283"/>
              <w:jc w:val="start"/>
              <w:rPr/>
            </w:pPr>
            <w:r>
              <w:rPr/>
              <w:t>Delitos informáticos</w:t>
            </w:r>
          </w:p>
        </w:tc>
        <w:tc>
          <w:tcPr>
            <w:tcW w:w="1776" w:type="dxa"/>
            <w:tcBorders/>
            <w:vAlign w:val="center"/>
          </w:tcPr>
          <w:p>
            <w:pPr>
              <w:pStyle w:val="TableContents"/>
              <w:bidi w:val="0"/>
              <w:spacing w:before="0" w:after="283"/>
              <w:jc w:val="start"/>
              <w:rPr/>
            </w:pPr>
            <w:r>
              <w:rPr/>
              <w:t>Ley 1273 de 2009</w:t>
            </w:r>
          </w:p>
        </w:tc>
        <w:tc>
          <w:tcPr>
            <w:tcW w:w="2322" w:type="dxa"/>
            <w:tcBorders/>
            <w:vAlign w:val="center"/>
          </w:tcPr>
          <w:p>
            <w:pPr>
              <w:pStyle w:val="TableContents"/>
              <w:bidi w:val="0"/>
              <w:spacing w:before="0" w:after="283"/>
              <w:jc w:val="start"/>
              <w:rPr/>
            </w:pPr>
            <w:r>
              <w:rPr/>
              <w:t>No hacer scraping ni acceder a datos sin autorización</w:t>
            </w:r>
          </w:p>
        </w:tc>
      </w:tr>
      <w:tr>
        <w:trPr/>
        <w:tc>
          <w:tcPr>
            <w:tcW w:w="1366" w:type="dxa"/>
            <w:tcBorders/>
            <w:vAlign w:val="center"/>
          </w:tcPr>
          <w:p>
            <w:pPr>
              <w:pStyle w:val="TableContents"/>
              <w:bidi w:val="0"/>
              <w:spacing w:before="0" w:after="283"/>
              <w:jc w:val="start"/>
              <w:rPr/>
            </w:pPr>
            <w:r>
              <w:rPr/>
              <w:t>Propiedad intelectual</w:t>
            </w:r>
          </w:p>
        </w:tc>
        <w:tc>
          <w:tcPr>
            <w:tcW w:w="1776" w:type="dxa"/>
            <w:tcBorders/>
            <w:vAlign w:val="center"/>
          </w:tcPr>
          <w:p>
            <w:pPr>
              <w:pStyle w:val="TableContents"/>
              <w:bidi w:val="0"/>
              <w:spacing w:before="0" w:after="283"/>
              <w:jc w:val="start"/>
              <w:rPr/>
            </w:pPr>
            <w:r>
              <w:rPr/>
              <w:t>Ley 23 de 1982 y bases del hackathon</w:t>
            </w:r>
          </w:p>
        </w:tc>
        <w:tc>
          <w:tcPr>
            <w:tcW w:w="2322" w:type="dxa"/>
            <w:tcBorders/>
            <w:vAlign w:val="center"/>
          </w:tcPr>
          <w:p>
            <w:pPr>
              <w:pStyle w:val="TableContents"/>
              <w:bidi w:val="0"/>
              <w:spacing w:before="0" w:after="283"/>
              <w:jc w:val="start"/>
              <w:rPr/>
            </w:pPr>
            <w:r>
              <w:rPr/>
              <w:t>Revisar a quién pertenece lo que se desarrolle</w:t>
            </w:r>
          </w:p>
        </w:tc>
      </w:tr>
    </w:tbl>
    <w:p>
      <w:pPr>
        <w:pStyle w:val="Heading3"/>
        <w:bidi w:val="0"/>
        <w:jc w:val="start"/>
        <w:rPr/>
      </w:pPr>
      <w:r>
        <w:rPr/>
        <w:t>Específico del RETO-01</w:t>
      </w:r>
    </w:p>
    <w:p>
      <w:pPr>
        <w:pStyle w:val="BodyText"/>
        <w:numPr>
          <w:ilvl w:val="0"/>
          <w:numId w:val="3"/>
        </w:numPr>
        <w:tabs>
          <w:tab w:val="clear" w:pos="1134"/>
          <w:tab w:val="left" w:pos="709" w:leader="none"/>
        </w:tabs>
        <w:bidi w:val="0"/>
        <w:spacing w:before="0" w:after="0"/>
        <w:ind w:hanging="283" w:start="709"/>
        <w:jc w:val="start"/>
        <w:rPr/>
      </w:pPr>
      <w:r>
        <w:rPr>
          <w:b/>
        </w:rPr>
        <w:t>Ley 1523 de 2012</w:t>
      </w:r>
      <w:r>
        <w:rPr/>
        <w:t xml:space="preserve"> (Sistema Nacional de Gestión del Riesgo) y </w:t>
      </w:r>
      <w:r>
        <w:rPr>
          <w:b/>
        </w:rPr>
        <w:t>Decreto 2157 de 2017</w:t>
      </w:r>
      <w:r>
        <w:rPr/>
        <w:t xml:space="preserve">: la activación la decide el Consejo Municipal de Gestión del Riesgo y la Secretaría de Gestión del Riesgo. Nuestro sistema </w:t>
      </w:r>
      <w:r>
        <w:rPr>
          <w:b/>
        </w:rPr>
        <w:t>recomienda; no decide</w:t>
      </w:r>
      <w:r>
        <w:rPr/>
        <w:t xml:space="preserve">. </w:t>
      </w:r>
    </w:p>
    <w:p>
      <w:pPr>
        <w:pStyle w:val="BodyText"/>
        <w:numPr>
          <w:ilvl w:val="0"/>
          <w:numId w:val="3"/>
        </w:numPr>
        <w:tabs>
          <w:tab w:val="clear" w:pos="1134"/>
          <w:tab w:val="left" w:pos="709" w:leader="none"/>
        </w:tabs>
        <w:bidi w:val="0"/>
        <w:spacing w:before="0" w:after="0"/>
        <w:ind w:hanging="283" w:start="709"/>
        <w:jc w:val="start"/>
        <w:rPr/>
      </w:pPr>
      <w:r>
        <w:rPr>
          <w:b/>
        </w:rPr>
        <w:t>Protocolo de Alojamientos Temporales de la UNGRD</w:t>
      </w:r>
      <w:r>
        <w:rPr/>
        <w:t xml:space="preserve"> y </w:t>
      </w:r>
      <w:r>
        <w:rPr>
          <w:b/>
        </w:rPr>
        <w:t>Manual de Estandarización de la Ayuda Humanitaria</w:t>
      </w:r>
      <w:r>
        <w:rPr/>
        <w:t xml:space="preserve">: de ahí sale la tabla de quién responde por cada servicio. </w:t>
      </w:r>
    </w:p>
    <w:p>
      <w:pPr>
        <w:pStyle w:val="BodyText"/>
        <w:numPr>
          <w:ilvl w:val="0"/>
          <w:numId w:val="3"/>
        </w:numPr>
        <w:tabs>
          <w:tab w:val="clear" w:pos="1134"/>
          <w:tab w:val="left" w:pos="709" w:leader="none"/>
        </w:tabs>
        <w:bidi w:val="0"/>
        <w:spacing w:before="0" w:after="0"/>
        <w:ind w:hanging="283" w:start="709"/>
        <w:jc w:val="start"/>
        <w:rPr/>
      </w:pPr>
      <w:r>
        <w:rPr>
          <w:b/>
        </w:rPr>
        <w:t>Ley 400 de 1997 y NSR-10</w:t>
      </w:r>
      <w:r>
        <w:rPr/>
        <w:t xml:space="preserve">: no reemplazamos la evaluación estructural; solo registramos si existe y su fecha. </w:t>
      </w:r>
    </w:p>
    <w:p>
      <w:pPr>
        <w:pStyle w:val="BodyText"/>
        <w:numPr>
          <w:ilvl w:val="0"/>
          <w:numId w:val="3"/>
        </w:numPr>
        <w:tabs>
          <w:tab w:val="clear" w:pos="1134"/>
          <w:tab w:val="left" w:pos="709" w:leader="none"/>
        </w:tabs>
        <w:bidi w:val="0"/>
        <w:spacing w:before="0" w:after="0"/>
        <w:ind w:hanging="283" w:start="709"/>
        <w:jc w:val="start"/>
        <w:rPr/>
      </w:pPr>
      <w:r>
        <w:rPr>
          <w:b/>
        </w:rPr>
        <w:t>Ley 1575 de 2012</w:t>
      </w:r>
      <w:r>
        <w:rPr/>
        <w:t xml:space="preserve"> (Bomberos): no emitimos conceptos de seguridad humana ni contra incendios. </w:t>
      </w:r>
    </w:p>
    <w:p>
      <w:pPr>
        <w:pStyle w:val="BodyText"/>
        <w:numPr>
          <w:ilvl w:val="0"/>
          <w:numId w:val="3"/>
        </w:numPr>
        <w:tabs>
          <w:tab w:val="clear" w:pos="1134"/>
          <w:tab w:val="left" w:pos="709" w:leader="none"/>
        </w:tabs>
        <w:bidi w:val="0"/>
        <w:spacing w:before="0" w:after="0"/>
        <w:ind w:hanging="283" w:start="709"/>
        <w:jc w:val="start"/>
        <w:rPr/>
      </w:pPr>
      <w:r>
        <w:rPr>
          <w:b/>
        </w:rPr>
        <w:t>Ley 1098, Ley 1618 y Ley 1257 de 2008</w:t>
      </w:r>
      <w:r>
        <w:rPr/>
        <w:t xml:space="preserve">: zonas diferenciadas para niños, personas con discapacidad y mujeres; conteos por ciclo vital, sin censar a personas. </w:t>
      </w:r>
    </w:p>
    <w:p>
      <w:pPr>
        <w:pStyle w:val="BodyText"/>
        <w:numPr>
          <w:ilvl w:val="0"/>
          <w:numId w:val="3"/>
        </w:numPr>
        <w:tabs>
          <w:tab w:val="clear" w:pos="1134"/>
          <w:tab w:val="left" w:pos="709" w:leader="none"/>
        </w:tabs>
        <w:bidi w:val="0"/>
        <w:spacing w:before="0" w:after="0"/>
        <w:ind w:hanging="283" w:start="709"/>
        <w:jc w:val="start"/>
        <w:rPr/>
      </w:pPr>
      <w:r>
        <w:rPr>
          <w:b/>
        </w:rPr>
        <w:t>Decreto 1504 de 1998</w:t>
      </w:r>
      <w:r>
        <w:rPr/>
        <w:t xml:space="preserve"> (espacio público) y </w:t>
      </w:r>
      <w:r>
        <w:rPr>
          <w:b/>
        </w:rPr>
        <w:t>POT de Cali (Acuerdo 0373 de 2014)</w:t>
      </w:r>
      <w:r>
        <w:rPr/>
        <w:t xml:space="preserve">: el uso temporal debe tener una ruta de retorno. </w:t>
      </w:r>
    </w:p>
    <w:p>
      <w:pPr>
        <w:pStyle w:val="BodyText"/>
        <w:numPr>
          <w:ilvl w:val="0"/>
          <w:numId w:val="3"/>
        </w:numPr>
        <w:tabs>
          <w:tab w:val="clear" w:pos="1134"/>
          <w:tab w:val="left" w:pos="709" w:leader="none"/>
        </w:tabs>
        <w:bidi w:val="0"/>
        <w:ind w:hanging="283" w:start="709"/>
        <w:jc w:val="start"/>
        <w:rPr/>
      </w:pPr>
      <w:r>
        <w:rPr>
          <w:b/>
        </w:rPr>
        <w:t>Estándares Esfera</w:t>
      </w:r>
      <w:r>
        <w:rPr/>
        <w:t xml:space="preserve"> (referencia humanitaria internacional): 1 baño por cada 20 personas, 15 L de agua por persona al día, 3,5 m² cubiertos por persona. </w:t>
      </w:r>
    </w:p>
    <w:p>
      <w:pPr>
        <w:pStyle w:val="Heading3"/>
        <w:bidi w:val="0"/>
        <w:jc w:val="start"/>
        <w:rPr/>
      </w:pPr>
      <w:r>
        <w:rPr/>
        <w:t>Checklist antes de construir</w:t>
      </w:r>
    </w:p>
    <w:p>
      <w:pPr>
        <w:pStyle w:val="BodyText"/>
        <w:numPr>
          <w:ilvl w:val="0"/>
          <w:numId w:val="4"/>
        </w:numPr>
        <w:tabs>
          <w:tab w:val="clear" w:pos="1134"/>
          <w:tab w:val="left" w:pos="709" w:leader="none"/>
        </w:tabs>
        <w:bidi w:val="0"/>
        <w:spacing w:before="0" w:after="0"/>
        <w:ind w:hanging="283" w:start="709"/>
        <w:jc w:val="start"/>
        <w:rPr/>
      </w:pPr>
      <w:r>
        <w:rPr/>
        <w:t xml:space="preserve">¿Recomienda sin quitarle la decisión a la autoridad competente? </w:t>
      </w:r>
    </w:p>
    <w:p>
      <w:pPr>
        <w:pStyle w:val="BodyText"/>
        <w:numPr>
          <w:ilvl w:val="0"/>
          <w:numId w:val="4"/>
        </w:numPr>
        <w:tabs>
          <w:tab w:val="clear" w:pos="1134"/>
          <w:tab w:val="left" w:pos="709" w:leader="none"/>
        </w:tabs>
        <w:bidi w:val="0"/>
        <w:spacing w:before="0" w:after="0"/>
        <w:ind w:hanging="283" w:start="709"/>
        <w:jc w:val="start"/>
        <w:rPr/>
      </w:pPr>
      <w:r>
        <w:rPr/>
        <w:t xml:space="preserve">¿Pide solo los datos necesarios, con aviso y autorización, y hace opcionales los sensibles? </w:t>
      </w:r>
    </w:p>
    <w:p>
      <w:pPr>
        <w:pStyle w:val="BodyText"/>
        <w:numPr>
          <w:ilvl w:val="0"/>
          <w:numId w:val="4"/>
        </w:numPr>
        <w:tabs>
          <w:tab w:val="clear" w:pos="1134"/>
          <w:tab w:val="left" w:pos="709" w:leader="none"/>
        </w:tabs>
        <w:bidi w:val="0"/>
        <w:spacing w:before="0" w:after="0"/>
        <w:ind w:hanging="283" w:start="709"/>
        <w:jc w:val="start"/>
        <w:rPr/>
      </w:pPr>
      <w:r>
        <w:rPr/>
        <w:t xml:space="preserve">¿Usa datos simulados o abiertos en el prototipo, sin datos reales de personas? </w:t>
      </w:r>
    </w:p>
    <w:p>
      <w:pPr>
        <w:pStyle w:val="BodyText"/>
        <w:numPr>
          <w:ilvl w:val="0"/>
          <w:numId w:val="4"/>
        </w:numPr>
        <w:tabs>
          <w:tab w:val="clear" w:pos="1134"/>
          <w:tab w:val="left" w:pos="709" w:leader="none"/>
        </w:tabs>
        <w:bidi w:val="0"/>
        <w:spacing w:before="0" w:after="0"/>
        <w:ind w:hanging="283" w:start="709"/>
        <w:jc w:val="start"/>
        <w:rPr/>
      </w:pPr>
      <w:r>
        <w:rPr/>
        <w:t xml:space="preserve">¿Tiene una tabla de explicabilidad (variables, reglas, límites) visible en la demo? </w:t>
      </w:r>
    </w:p>
    <w:p>
      <w:pPr>
        <w:pStyle w:val="BodyText"/>
        <w:numPr>
          <w:ilvl w:val="0"/>
          <w:numId w:val="4"/>
        </w:numPr>
        <w:tabs>
          <w:tab w:val="clear" w:pos="1134"/>
          <w:tab w:val="left" w:pos="709" w:leader="none"/>
        </w:tabs>
        <w:bidi w:val="0"/>
        <w:spacing w:before="0" w:after="0"/>
        <w:ind w:hanging="283" w:start="709"/>
        <w:jc w:val="start"/>
        <w:rPr/>
      </w:pPr>
      <w:r>
        <w:rPr/>
        <w:t xml:space="preserve">¿Cruza alguna línea roja o se mete en competencias de otra entidad (bomberos, salud, estructural)? </w:t>
      </w:r>
    </w:p>
    <w:p>
      <w:pPr>
        <w:pStyle w:val="BodyText"/>
        <w:numPr>
          <w:ilvl w:val="0"/>
          <w:numId w:val="4"/>
        </w:numPr>
        <w:tabs>
          <w:tab w:val="clear" w:pos="1134"/>
          <w:tab w:val="left" w:pos="709" w:leader="none"/>
        </w:tabs>
        <w:bidi w:val="0"/>
        <w:ind w:hanging="283" w:start="709"/>
        <w:jc w:val="start"/>
        <w:rPr/>
      </w:pPr>
      <w:r>
        <w:rPr/>
        <w:t xml:space="preserve">¿Cumple lo básico de accesibilidad? </w:t>
      </w:r>
    </w:p>
    <w:p>
      <w:pPr>
        <w:pStyle w:val="Heading2"/>
        <w:bidi w:val="0"/>
        <w:jc w:val="start"/>
        <w:rPr/>
      </w:pPr>
      <w:r>
        <w:rPr/>
        <w:t>5. Investigación: noticias y evidencia</w:t>
      </w:r>
    </w:p>
    <w:p>
      <w:pPr>
        <w:pStyle w:val="Heading3"/>
        <w:bidi w:val="0"/>
        <w:jc w:val="start"/>
        <w:rPr/>
      </w:pPr>
      <w:r>
        <w:rPr/>
        <w:t>Terremoto del 10 de agosto de 2026</w:t>
      </w:r>
    </w:p>
    <w:p>
      <w:pPr>
        <w:pStyle w:val="BodyText"/>
        <w:numPr>
          <w:ilvl w:val="0"/>
          <w:numId w:val="5"/>
        </w:numPr>
        <w:tabs>
          <w:tab w:val="clear" w:pos="1134"/>
          <w:tab w:val="left" w:pos="709" w:leader="none"/>
        </w:tabs>
        <w:bidi w:val="0"/>
        <w:spacing w:before="0" w:after="0"/>
        <w:ind w:hanging="283" w:start="709"/>
        <w:jc w:val="start"/>
        <w:rPr/>
      </w:pPr>
      <w:r>
        <w:rPr/>
        <w:t xml:space="preserve">Magnitud 7,4, a las 7:34 a. m.; epicentro en San José del Palmar (Chocó), a 103 km de profundidad. </w:t>
      </w:r>
    </w:p>
    <w:p>
      <w:pPr>
        <w:pStyle w:val="BodyText"/>
        <w:numPr>
          <w:ilvl w:val="0"/>
          <w:numId w:val="5"/>
        </w:numPr>
        <w:tabs>
          <w:tab w:val="clear" w:pos="1134"/>
          <w:tab w:val="left" w:pos="709" w:leader="none"/>
        </w:tabs>
        <w:bidi w:val="0"/>
        <w:spacing w:before="0" w:after="0"/>
        <w:ind w:hanging="283" w:start="709"/>
        <w:jc w:val="start"/>
        <w:rPr/>
      </w:pPr>
      <w:r>
        <w:rPr>
          <w:b/>
        </w:rPr>
        <w:t>Cali:</w:t>
      </w:r>
      <w:r>
        <w:rPr/>
        <w:t xml:space="preserve"> 105 muertos, 1.401 heridos; 879 viviendas destruidas y 16.357 averiadas; </w:t>
      </w:r>
      <w:r>
        <w:rPr>
          <w:b/>
        </w:rPr>
        <w:t>45.138 familias (97.337 personas) inscritas en el Registro Único de Damnificados (RUD)</w:t>
      </w:r>
      <w:r>
        <w:rPr/>
        <w:t xml:space="preserve">; cerca de 20 edificios colapsados. (Otra nota del 13 de septiembre habla de 154 fallecidos y 1.517 heridos. El repositorio oficial de la Alcaldía, que citó el equipo Revo HUD, reporta </w:t>
      </w:r>
      <w:r>
        <w:rPr>
          <w:b/>
        </w:rPr>
        <w:t>154 fallecidos, 1.657 lesionados y 24 edificaciones con colapso total</w:t>
      </w:r>
      <w:r>
        <w:rPr/>
        <w:t xml:space="preserve">: falta confirmar la fecha de corte.) </w:t>
      </w:r>
    </w:p>
    <w:p>
      <w:pPr>
        <w:pStyle w:val="BodyText"/>
        <w:numPr>
          <w:ilvl w:val="0"/>
          <w:numId w:val="5"/>
        </w:numPr>
        <w:tabs>
          <w:tab w:val="clear" w:pos="1134"/>
          <w:tab w:val="left" w:pos="709" w:leader="none"/>
        </w:tabs>
        <w:bidi w:val="0"/>
        <w:spacing w:before="0" w:after="0"/>
        <w:ind w:hanging="283" w:start="709"/>
        <w:jc w:val="start"/>
        <w:rPr/>
      </w:pPr>
      <w:r>
        <w:rPr>
          <w:b/>
        </w:rPr>
        <w:t>Valle del Cauca (corte al 24 de agosto):</w:t>
      </w:r>
      <w:r>
        <w:rPr/>
        <w:t xml:space="preserve"> 220 muertos, 3.043 heridos; el 80 % de las casas de El Cairo quedó destruido. </w:t>
      </w:r>
    </w:p>
    <w:p>
      <w:pPr>
        <w:pStyle w:val="BodyText"/>
        <w:numPr>
          <w:ilvl w:val="0"/>
          <w:numId w:val="5"/>
        </w:numPr>
        <w:tabs>
          <w:tab w:val="clear" w:pos="1134"/>
          <w:tab w:val="left" w:pos="709" w:leader="none"/>
        </w:tabs>
        <w:bidi w:val="0"/>
        <w:spacing w:before="0" w:after="0"/>
        <w:ind w:hanging="283" w:start="709"/>
        <w:jc w:val="start"/>
        <w:rPr/>
      </w:pPr>
      <w:r>
        <w:rPr>
          <w:b/>
        </w:rPr>
        <w:t>País (OCHA, 25 de septiembre):</w:t>
      </w:r>
      <w:r>
        <w:rPr/>
        <w:t xml:space="preserve"> 486.917 afectados (303.934 familias), 335 muertos, 4.516 heridos, 105 desaparecidos, 36.478 viviendas destruidas; </w:t>
      </w:r>
      <w:r>
        <w:rPr>
          <w:b/>
        </w:rPr>
        <w:t>6.903 personas en 105 alojamientos temporales</w:t>
      </w:r>
      <w:r>
        <w:rPr/>
        <w:t xml:space="preserve">; 4.431 sedes educativas, 402 centros de salud y 182 acueductos afectados. </w:t>
      </w:r>
    </w:p>
    <w:p>
      <w:pPr>
        <w:pStyle w:val="BodyText"/>
        <w:numPr>
          <w:ilvl w:val="0"/>
          <w:numId w:val="5"/>
        </w:numPr>
        <w:tabs>
          <w:tab w:val="clear" w:pos="1134"/>
          <w:tab w:val="left" w:pos="709" w:leader="none"/>
        </w:tabs>
        <w:bidi w:val="0"/>
        <w:ind w:hanging="283" w:start="709"/>
        <w:jc w:val="start"/>
        <w:rPr/>
      </w:pPr>
      <w:r>
        <w:rPr>
          <w:b/>
        </w:rPr>
        <w:t>Vacíos que señala OCHA:</w:t>
      </w:r>
      <w:r>
        <w:rPr/>
        <w:t xml:space="preserve"> cifras que no coinciden entre las evaluaciones de daños y los reportes municipales; migrantes que quedaron fuera de los registros; familias sin información sobre las inspecciones estructurales; fallas de agua y saneamiento en los albergues. </w:t>
      </w:r>
    </w:p>
    <w:p>
      <w:pPr>
        <w:pStyle w:val="Heading3"/>
        <w:bidi w:val="0"/>
        <w:jc w:val="start"/>
        <w:rPr/>
      </w:pPr>
      <w:r>
        <w:rPr/>
        <w:t>Albergues en Cali</w:t>
      </w:r>
    </w:p>
    <w:p>
      <w:pPr>
        <w:pStyle w:val="BodyText"/>
        <w:numPr>
          <w:ilvl w:val="0"/>
          <w:numId w:val="6"/>
        </w:numPr>
        <w:tabs>
          <w:tab w:val="clear" w:pos="1134"/>
          <w:tab w:val="left" w:pos="709" w:leader="none"/>
        </w:tabs>
        <w:bidi w:val="0"/>
        <w:spacing w:before="0" w:after="0"/>
        <w:ind w:hanging="283" w:start="709"/>
        <w:jc w:val="start"/>
        <w:rPr/>
      </w:pPr>
      <w:r>
        <w:rPr>
          <w:b/>
        </w:rPr>
        <w:t>Oficiales:</w:t>
      </w:r>
      <w:r>
        <w:rPr/>
        <w:t xml:space="preserve"> Cancha de Hockey Miguel Calero (albergue y punto de atención humanitaria, con equipos psicosociales, de salud y de Bienestar Social; atiende a migrantes), Diamante de Béisbol y Unidad Deportiva Jaime Aparicio (albergue, centro de acopio y lugar de descanso para rescatistas). Se entregaron colchonetas, agua, alimentos, cobijas y kits de higiene, y se instalaron baños portátiles. </w:t>
      </w:r>
    </w:p>
    <w:p>
      <w:pPr>
        <w:pStyle w:val="BodyText"/>
        <w:numPr>
          <w:ilvl w:val="0"/>
          <w:numId w:val="6"/>
        </w:numPr>
        <w:tabs>
          <w:tab w:val="clear" w:pos="1134"/>
          <w:tab w:val="left" w:pos="709" w:leader="none"/>
        </w:tabs>
        <w:bidi w:val="0"/>
        <w:spacing w:before="0" w:after="0"/>
        <w:ind w:hanging="283" w:start="709"/>
        <w:jc w:val="start"/>
        <w:rPr/>
      </w:pPr>
      <w:r>
        <w:rPr>
          <w:b/>
        </w:rPr>
        <w:t>Autogestionados (hallazgo clave):</w:t>
      </w:r>
      <w:r>
        <w:rPr/>
        <w:t xml:space="preserve"> la Defensoría encontró </w:t>
      </w:r>
      <w:r>
        <w:rPr>
          <w:b/>
        </w:rPr>
        <w:t>336 familias (1.046 personas)</w:t>
      </w:r>
      <w:r>
        <w:rPr/>
        <w:t xml:space="preserve"> en 3 albergues montados por la comunidad en canchas de </w:t>
      </w:r>
      <w:r>
        <w:rPr>
          <w:b/>
        </w:rPr>
        <w:t>Chiminangos I, Chiminangos II y Calimio Norte</w:t>
      </w:r>
      <w:r>
        <w:rPr/>
        <w:t xml:space="preserve">. Funcionaban con carpas y baños donados por un empresario, ollas comunitarias y voluntarios jóvenes. </w:t>
      </w:r>
    </w:p>
    <w:p>
      <w:pPr>
        <w:pStyle w:val="BodyText"/>
        <w:numPr>
          <w:ilvl w:val="0"/>
          <w:numId w:val="6"/>
        </w:numPr>
        <w:tabs>
          <w:tab w:val="clear" w:pos="1134"/>
          <w:tab w:val="left" w:pos="709" w:leader="none"/>
        </w:tabs>
        <w:bidi w:val="0"/>
        <w:spacing w:before="0" w:after="0"/>
        <w:ind w:hanging="283" w:start="709"/>
        <w:jc w:val="start"/>
        <w:rPr/>
      </w:pPr>
      <w:r>
        <w:rPr>
          <w:b/>
        </w:rPr>
        <w:t>Recomendaciones de la Defensoría:</w:t>
      </w:r>
      <w:r>
        <w:rPr/>
        <w:t xml:space="preserve"> organizar mejor los albergues; acompañamiento permanente de la Alcaldía (Santa Elena, Alto Meléndez); articulación con el ICBF; baños adecuados y </w:t>
      </w:r>
      <w:r>
        <w:rPr>
          <w:b/>
        </w:rPr>
        <w:t>censo por ciclo vital en la Cancha de Hockey</w:t>
      </w:r>
      <w:r>
        <w:rPr/>
        <w:t xml:space="preserve">. Observó "traslados de ayudas cuyo destino se desconocía" por falta de caracterización de las familias. </w:t>
      </w:r>
    </w:p>
    <w:p>
      <w:pPr>
        <w:pStyle w:val="BodyText"/>
        <w:numPr>
          <w:ilvl w:val="0"/>
          <w:numId w:val="6"/>
        </w:numPr>
        <w:tabs>
          <w:tab w:val="clear" w:pos="1134"/>
          <w:tab w:val="left" w:pos="709" w:leader="none"/>
        </w:tabs>
        <w:bidi w:val="0"/>
        <w:spacing w:before="0" w:after="0"/>
        <w:ind w:hanging="283" w:start="709"/>
        <w:jc w:val="start"/>
        <w:rPr/>
      </w:pPr>
      <w:r>
        <w:rPr>
          <w:b/>
        </w:rPr>
        <w:t>ICBF:</w:t>
      </w:r>
      <w:r>
        <w:rPr/>
        <w:t xml:space="preserve"> acompaña 49 albergues; verifica derechos, ubica a niños y activa rutas de protección. </w:t>
      </w:r>
    </w:p>
    <w:p>
      <w:pPr>
        <w:pStyle w:val="BodyText"/>
        <w:numPr>
          <w:ilvl w:val="0"/>
          <w:numId w:val="6"/>
        </w:numPr>
        <w:tabs>
          <w:tab w:val="clear" w:pos="1134"/>
          <w:tab w:val="left" w:pos="709" w:leader="none"/>
        </w:tabs>
        <w:bidi w:val="0"/>
        <w:ind w:hanging="283" w:start="709"/>
        <w:jc w:val="start"/>
        <w:rPr/>
      </w:pPr>
      <w:r>
        <w:rPr>
          <w:b/>
        </w:rPr>
        <w:t>Vida en los albergues:</w:t>
      </w:r>
      <w:r>
        <w:rPr/>
        <w:t xml:space="preserve"> trauma (despertarse con cualquier ruido), carpas sin protección adecuada, falta de espacios para niños y apoyo psicosocial limitado. </w:t>
      </w:r>
    </w:p>
    <w:p>
      <w:pPr>
        <w:pStyle w:val="Heading3"/>
        <w:bidi w:val="0"/>
        <w:jc w:val="start"/>
        <w:rPr/>
      </w:pPr>
      <w:r>
        <w:rPr/>
        <w:t>Retorno de escenarios deportivos</w:t>
      </w:r>
    </w:p>
    <w:p>
      <w:pPr>
        <w:pStyle w:val="BodyText"/>
        <w:numPr>
          <w:ilvl w:val="0"/>
          <w:numId w:val="7"/>
        </w:numPr>
        <w:tabs>
          <w:tab w:val="clear" w:pos="1134"/>
          <w:tab w:val="left" w:pos="709" w:leader="none"/>
        </w:tabs>
        <w:bidi w:val="0"/>
        <w:spacing w:before="0" w:after="0"/>
        <w:ind w:hanging="283" w:start="709"/>
        <w:jc w:val="start"/>
        <w:rPr/>
      </w:pPr>
      <w:r>
        <w:rPr/>
        <w:t xml:space="preserve">Al 31 de agosto, de </w:t>
      </w:r>
      <w:r>
        <w:rPr>
          <w:b/>
        </w:rPr>
        <w:t>43 escenarios</w:t>
      </w:r>
      <w:r>
        <w:rPr/>
        <w:t xml:space="preserve"> de alto rendimiento revisados: </w:t>
      </w:r>
      <w:r>
        <w:rPr>
          <w:b/>
        </w:rPr>
        <w:t>12 habilitados (27,9 %)</w:t>
      </w:r>
      <w:r>
        <w:rPr/>
        <w:t xml:space="preserve">, </w:t>
      </w:r>
      <w:r>
        <w:rPr>
          <w:b/>
        </w:rPr>
        <w:t>22 esperando inspección técnica (51,2 %)</w:t>
      </w:r>
      <w:r>
        <w:rPr/>
        <w:t xml:space="preserve">, 4 inhabilitados, 2 con observaciones y 2 sin revisar. </w:t>
      </w:r>
    </w:p>
    <w:p>
      <w:pPr>
        <w:pStyle w:val="BodyText"/>
        <w:numPr>
          <w:ilvl w:val="0"/>
          <w:numId w:val="7"/>
        </w:numPr>
        <w:tabs>
          <w:tab w:val="clear" w:pos="1134"/>
          <w:tab w:val="left" w:pos="709" w:leader="none"/>
        </w:tabs>
        <w:bidi w:val="0"/>
        <w:ind w:hanging="283" w:start="709"/>
        <w:jc w:val="start"/>
        <w:rPr/>
      </w:pPr>
      <w:r>
        <w:rPr/>
        <w:t xml:space="preserve">En el Valle del Cauca, 36 escenarios quedaron afectados, 24 con daños importantes. Seguían cerrados el Coliseo El Pueblo, el Velódromo Alcides Nieto y el Complejo Acuático Hernando Botero. Indervalle lidera la evaluación. </w:t>
      </w:r>
    </w:p>
    <w:p>
      <w:pPr>
        <w:pStyle w:val="Heading3"/>
        <w:bidi w:val="0"/>
        <w:jc w:val="start"/>
        <w:rPr/>
      </w:pPr>
      <w:r>
        <w:rPr/>
        <w:t>Inundaciones: río Cauca y Jarillón</w:t>
      </w:r>
    </w:p>
    <w:p>
      <w:pPr>
        <w:pStyle w:val="BodyText"/>
        <w:numPr>
          <w:ilvl w:val="0"/>
          <w:numId w:val="8"/>
        </w:numPr>
        <w:tabs>
          <w:tab w:val="clear" w:pos="1134"/>
          <w:tab w:val="left" w:pos="709" w:leader="none"/>
        </w:tabs>
        <w:bidi w:val="0"/>
        <w:spacing w:before="0" w:after="0"/>
        <w:ind w:hanging="283" w:start="709"/>
        <w:jc w:val="start"/>
        <w:rPr/>
      </w:pPr>
      <w:r>
        <w:rPr>
          <w:b/>
        </w:rPr>
        <w:t>24 de febrero de 2026:</w:t>
      </w:r>
      <w:r>
        <w:rPr/>
        <w:t xml:space="preserve"> el río Cauca llegó a 9,25 m y se declaró alerta naranja en el oriente (Puerto Nuevo, Playa Renaciente, Brisas del Cauca). Actuaron Bomberos, Cruz Roja y Defensa Civil. No hubo viviendas inundadas. </w:t>
      </w:r>
    </w:p>
    <w:p>
      <w:pPr>
        <w:pStyle w:val="BodyText"/>
        <w:numPr>
          <w:ilvl w:val="0"/>
          <w:numId w:val="8"/>
        </w:numPr>
        <w:tabs>
          <w:tab w:val="clear" w:pos="1134"/>
          <w:tab w:val="left" w:pos="709" w:leader="none"/>
        </w:tabs>
        <w:bidi w:val="0"/>
        <w:spacing w:before="0" w:after="0"/>
        <w:ind w:hanging="283" w:start="709"/>
        <w:jc w:val="start"/>
        <w:rPr/>
      </w:pPr>
      <w:r>
        <w:rPr>
          <w:b/>
        </w:rPr>
        <w:t>Mayo de 2026:</w:t>
      </w:r>
      <w:r>
        <w:rPr/>
        <w:t xml:space="preserve"> emergencia en 23 km de terrenos junto al Jarillón. </w:t>
      </w:r>
    </w:p>
    <w:p>
      <w:pPr>
        <w:pStyle w:val="BodyText"/>
        <w:numPr>
          <w:ilvl w:val="0"/>
          <w:numId w:val="8"/>
        </w:numPr>
        <w:tabs>
          <w:tab w:val="clear" w:pos="1134"/>
          <w:tab w:val="left" w:pos="709" w:leader="none"/>
        </w:tabs>
        <w:bidi w:val="0"/>
        <w:spacing w:before="0" w:after="0"/>
        <w:ind w:hanging="283" w:start="709"/>
        <w:jc w:val="start"/>
        <w:rPr/>
      </w:pPr>
      <w:r>
        <w:rPr/>
        <w:t xml:space="preserve">El Plan Jarillón (Fondo Adaptación) protege a </w:t>
      </w:r>
      <w:r>
        <w:rPr>
          <w:b/>
        </w:rPr>
        <w:t>900.000 habitantes</w:t>
      </w:r>
      <w:r>
        <w:rPr/>
        <w:t xml:space="preserve"> del oriente. En marzo hubo intervenciones en Calimio Norte y Petecuy. </w:t>
      </w:r>
    </w:p>
    <w:p>
      <w:pPr>
        <w:pStyle w:val="BodyText"/>
        <w:numPr>
          <w:ilvl w:val="0"/>
          <w:numId w:val="8"/>
        </w:numPr>
        <w:tabs>
          <w:tab w:val="clear" w:pos="1134"/>
          <w:tab w:val="left" w:pos="709" w:leader="none"/>
        </w:tabs>
        <w:bidi w:val="0"/>
        <w:ind w:hanging="283" w:start="709"/>
        <w:jc w:val="start"/>
        <w:rPr/>
      </w:pPr>
      <w:r>
        <w:rPr/>
        <w:t xml:space="preserve">⚠️ </w:t>
      </w:r>
      <w:r>
        <w:rPr>
          <w:b/>
        </w:rPr>
        <w:t>Calimio Norte (albergue autogestionado tras el sismo) está en el sector del Jarillón</w:t>
      </w:r>
      <w:r>
        <w:rPr/>
        <w:t xml:space="preserve">, es decir, en zona de amenaza por inundación. Chiminangos: hay que verificarlo en el mapa de amenaza del POT. </w:t>
      </w:r>
    </w:p>
    <w:p>
      <w:pPr>
        <w:pStyle w:val="Heading3"/>
        <w:bidi w:val="0"/>
        <w:jc w:val="start"/>
        <w:rPr/>
      </w:pPr>
      <w:r>
        <w:rPr/>
        <w:t>Sequía y El Niño</w:t>
      </w:r>
    </w:p>
    <w:p>
      <w:pPr>
        <w:pStyle w:val="BodyText"/>
        <w:numPr>
          <w:ilvl w:val="0"/>
          <w:numId w:val="9"/>
        </w:numPr>
        <w:tabs>
          <w:tab w:val="clear" w:pos="1134"/>
          <w:tab w:val="left" w:pos="709" w:leader="none"/>
        </w:tabs>
        <w:bidi w:val="0"/>
        <w:spacing w:before="0" w:after="0"/>
        <w:ind w:hanging="283" w:start="709"/>
        <w:jc w:val="start"/>
        <w:rPr/>
      </w:pPr>
      <w:r>
        <w:rPr/>
        <w:t xml:space="preserve">IDEAM: 90 % de probabilidad de un El Niño muy fuerte en el último trimestre de 2026 (75 % de que sea el más intenso en 76 años). </w:t>
      </w:r>
      <w:r>
        <w:rPr>
          <w:b/>
        </w:rPr>
        <w:t>El pico será en noviembre.</w:t>
      </w:r>
      <w:r>
        <w:rPr/>
        <w:t xml:space="preserve"> </w:t>
      </w:r>
    </w:p>
    <w:p>
      <w:pPr>
        <w:pStyle w:val="BodyText"/>
        <w:numPr>
          <w:ilvl w:val="0"/>
          <w:numId w:val="9"/>
        </w:numPr>
        <w:tabs>
          <w:tab w:val="clear" w:pos="1134"/>
          <w:tab w:val="left" w:pos="709" w:leader="none"/>
        </w:tabs>
        <w:bidi w:val="0"/>
        <w:spacing w:before="0" w:after="0"/>
        <w:ind w:hanging="283" w:start="709"/>
        <w:jc w:val="start"/>
        <w:rPr/>
      </w:pPr>
      <w:r>
        <w:rPr/>
        <w:t xml:space="preserve">En julio de 2026 hubo más de 30 incendios en Cali (+20 % frente a 2025); 50 incendios forestales en el Valle del Cauca. Vigilancia reforzada en las comunas 1, 18 y 20, Pance, La Buitrera y El Saladito. </w:t>
      </w:r>
    </w:p>
    <w:p>
      <w:pPr>
        <w:pStyle w:val="BodyText"/>
        <w:numPr>
          <w:ilvl w:val="0"/>
          <w:numId w:val="9"/>
        </w:numPr>
        <w:tabs>
          <w:tab w:val="clear" w:pos="1134"/>
          <w:tab w:val="left" w:pos="709" w:leader="none"/>
        </w:tabs>
        <w:bidi w:val="0"/>
        <w:spacing w:before="0" w:after="0"/>
        <w:ind w:hanging="283" w:start="709"/>
        <w:jc w:val="start"/>
        <w:rPr/>
      </w:pPr>
      <w:r>
        <w:rPr/>
        <w:t xml:space="preserve">El río Meléndez está en alerta naranja (~600 L/s). EMCALI tiene planes de contingencia para las laderas. Salvajina está al 80 % y Sara Brut al 96 %; la CVC descarta cortes de agua en Cali por ahora. </w:t>
      </w:r>
    </w:p>
    <w:p>
      <w:pPr>
        <w:pStyle w:val="BodyText"/>
        <w:numPr>
          <w:ilvl w:val="0"/>
          <w:numId w:val="9"/>
        </w:numPr>
        <w:tabs>
          <w:tab w:val="clear" w:pos="1134"/>
          <w:tab w:val="left" w:pos="709" w:leader="none"/>
        </w:tabs>
        <w:bidi w:val="0"/>
        <w:ind w:hanging="283" w:start="709"/>
        <w:jc w:val="start"/>
        <w:rPr/>
      </w:pPr>
      <w:r>
        <w:rPr/>
        <w:t xml:space="preserve">Los 6 riesgos que identificó Cali: incendios forestales, desabastecimiento de agua, salud pública, interrupción de servicios, sector agrícola y ecosistemas. </w:t>
      </w:r>
    </w:p>
    <w:p>
      <w:pPr>
        <w:pStyle w:val="Heading3"/>
        <w:bidi w:val="0"/>
        <w:jc w:val="start"/>
        <w:rPr/>
      </w:pPr>
      <w:r>
        <w:rPr/>
        <w:t>Referentes internacionales: planes de contingencia en espacios públicos</w:t>
      </w:r>
    </w:p>
    <w:p>
      <w:pPr>
        <w:pStyle w:val="BodyText"/>
        <w:bidi w:val="0"/>
        <w:jc w:val="start"/>
        <w:rPr/>
      </w:pPr>
      <w:r>
        <w:rPr/>
        <w:t xml:space="preserve">Idea que los une: </w:t>
      </w:r>
      <w:r>
        <w:rPr>
          <w:b/>
        </w:rPr>
        <w:t>el espacio público se diseña desde el inicio con dos vidas</w:t>
      </w:r>
      <w:r>
        <w:rPr/>
        <w:t xml:space="preserve">, la cotidiana y la de emergencia, y además se </w:t>
      </w:r>
      <w:r>
        <w:rPr>
          <w:b/>
        </w:rPr>
        <w:t>protege legalmente</w:t>
      </w:r>
      <w:r>
        <w:rPr/>
        <w:t xml:space="preserve"> para que no desaparezca.</w:t>
      </w:r>
    </w:p>
    <w:p>
      <w:pPr>
        <w:pStyle w:val="BodyText"/>
        <w:bidi w:val="0"/>
        <w:jc w:val="start"/>
        <w:rPr>
          <w:b/>
        </w:rPr>
      </w:pPr>
      <w:r>
        <w:rPr>
          <w:b/>
        </w:rPr>
        <w:t>Sismo</w:t>
      </w:r>
    </w:p>
    <w:tbl>
      <w:tblPr>
        <w:tblW w:w="5464" w:type="dxa"/>
        <w:jc w:val="start"/>
        <w:tblInd w:w="0" w:type="dxa"/>
        <w:tblLayout w:type="fixed"/>
        <w:tblCellMar>
          <w:top w:w="28" w:type="dxa"/>
          <w:start w:w="28" w:type="dxa"/>
          <w:bottom w:w="28" w:type="dxa"/>
          <w:end w:w="28" w:type="dxa"/>
        </w:tblCellMar>
      </w:tblPr>
      <w:tblGrid>
        <w:gridCol w:w="1044"/>
        <w:gridCol w:w="2676"/>
        <w:gridCol w:w="1744"/>
      </w:tblGrid>
      <w:tr>
        <w:trPr/>
        <w:tc>
          <w:tcPr>
            <w:tcW w:w="1044" w:type="dxa"/>
            <w:tcBorders/>
            <w:vAlign w:val="center"/>
          </w:tcPr>
          <w:p>
            <w:pPr>
              <w:pStyle w:val="TableHeading"/>
              <w:suppressLineNumbers/>
              <w:shd w:fill="0B4F6C" w:val="clear"/>
              <w:bidi w:val="0"/>
              <w:spacing w:before="0" w:after="283"/>
              <w:jc w:val="start"/>
              <w:rPr/>
            </w:pPr>
            <w:r>
              <w:rPr/>
              <w:t>País</w:t>
            </w:r>
          </w:p>
        </w:tc>
        <w:tc>
          <w:tcPr>
            <w:tcW w:w="2676" w:type="dxa"/>
            <w:tcBorders/>
            <w:vAlign w:val="center"/>
          </w:tcPr>
          <w:p>
            <w:pPr>
              <w:pStyle w:val="TableHeading"/>
              <w:suppressLineNumbers/>
              <w:shd w:fill="0B4F6C" w:val="clear"/>
              <w:bidi w:val="0"/>
              <w:spacing w:before="0" w:after="283"/>
              <w:jc w:val="start"/>
              <w:rPr/>
            </w:pPr>
            <w:r>
              <w:rPr/>
              <w:t>Qué hacen</w:t>
            </w:r>
          </w:p>
        </w:tc>
        <w:tc>
          <w:tcPr>
            <w:tcW w:w="1744" w:type="dxa"/>
            <w:tcBorders/>
            <w:vAlign w:val="center"/>
          </w:tcPr>
          <w:p>
            <w:pPr>
              <w:pStyle w:val="TableHeading"/>
              <w:suppressLineNumbers/>
              <w:shd w:fill="0B4F6C" w:val="clear"/>
              <w:bidi w:val="0"/>
              <w:spacing w:before="0" w:after="283"/>
              <w:jc w:val="start"/>
              <w:rPr/>
            </w:pPr>
            <w:r>
              <w:rPr/>
              <w:t>Qué adaptamos a Cali</w:t>
            </w:r>
          </w:p>
        </w:tc>
      </w:tr>
      <w:tr>
        <w:trPr/>
        <w:tc>
          <w:tcPr>
            <w:tcW w:w="1044" w:type="dxa"/>
            <w:tcBorders/>
            <w:vAlign w:val="center"/>
          </w:tcPr>
          <w:p>
            <w:pPr>
              <w:pStyle w:val="TableContents"/>
              <w:bidi w:val="0"/>
              <w:spacing w:before="0" w:after="283"/>
              <w:jc w:val="start"/>
              <w:rPr/>
            </w:pPr>
            <w:r>
              <w:rPr/>
              <w:t>Japón (Tokio)</w:t>
            </w:r>
          </w:p>
        </w:tc>
        <w:tc>
          <w:tcPr>
            <w:tcW w:w="2676" w:type="dxa"/>
            <w:tcBorders/>
            <w:vAlign w:val="center"/>
          </w:tcPr>
          <w:p>
            <w:pPr>
              <w:pStyle w:val="TableContents"/>
              <w:bidi w:val="0"/>
              <w:spacing w:before="0" w:after="283"/>
              <w:jc w:val="start"/>
              <w:rPr/>
            </w:pPr>
            <w:r>
              <w:rPr>
                <w:b/>
              </w:rPr>
              <w:t>Parques de prevención de desastres (bōsai kōen):</w:t>
            </w:r>
            <w:r>
              <w:rPr/>
              <w:t xml:space="preserve"> bancas que se convierten en fogones (*kamado*), tapas de alcantarilla que se convierten en baños sin agua ni electricidad (el parque Hikarigaoka tiene 52), postes solares con tomas para cargar celulares y bodegas con comida. Bajo parques y colegios hay </w:t>
            </w:r>
            <w:r>
              <w:rPr>
                <w:b/>
              </w:rPr>
              <w:t>tanques de agua potable antisísmicos</w:t>
            </w:r>
            <w:r>
              <w:rPr/>
              <w:t xml:space="preserve"> enterrados; en Yokohama, el de Minato Mirai 21 guarda agua para unas 170.000 personas durante 3 días.</w:t>
            </w:r>
          </w:p>
        </w:tc>
        <w:tc>
          <w:tcPr>
            <w:tcW w:w="1744" w:type="dxa"/>
            <w:tcBorders/>
            <w:vAlign w:val="center"/>
          </w:tcPr>
          <w:p>
            <w:pPr>
              <w:pStyle w:val="TableContents"/>
              <w:bidi w:val="0"/>
              <w:spacing w:before="0" w:after="283"/>
              <w:jc w:val="start"/>
              <w:rPr/>
            </w:pPr>
            <w:r>
              <w:rPr/>
              <w:t>Campo de la ficha de aptitud: "¿tiene agua almacenada, baños sin red y energía propia?". Es la brecha que más se vio en los albergues de Cali (baños portátiles, agua donada).</w:t>
            </w:r>
          </w:p>
        </w:tc>
      </w:tr>
      <w:tr>
        <w:trPr/>
        <w:tc>
          <w:tcPr>
            <w:tcW w:w="1044" w:type="dxa"/>
            <w:tcBorders/>
            <w:vAlign w:val="center"/>
          </w:tcPr>
          <w:p>
            <w:pPr>
              <w:pStyle w:val="TableContents"/>
              <w:bidi w:val="0"/>
              <w:spacing w:before="0" w:after="283"/>
              <w:jc w:val="start"/>
              <w:rPr/>
            </w:pPr>
            <w:r>
              <w:rPr/>
              <w:t>Nepal (Katmandú)</w:t>
            </w:r>
          </w:p>
        </w:tc>
        <w:tc>
          <w:tcPr>
            <w:tcW w:w="2676" w:type="dxa"/>
            <w:tcBorders/>
            <w:vAlign w:val="center"/>
          </w:tcPr>
          <w:p>
            <w:pPr>
              <w:pStyle w:val="TableContents"/>
              <w:bidi w:val="0"/>
              <w:spacing w:before="0" w:after="283"/>
              <w:jc w:val="start"/>
              <w:rPr/>
            </w:pPr>
            <w:r>
              <w:rPr/>
              <w:t xml:space="preserve">En 2013, el Gobierno aprobó por decreto </w:t>
            </w:r>
            <w:r>
              <w:rPr>
                <w:b/>
              </w:rPr>
              <w:t>83 espacios abiertos humanitarios</w:t>
            </w:r>
            <w:r>
              <w:rPr/>
              <w:t xml:space="preserve"> (unos 4 km²), con mapas SIG, un portal web y una app. Tras el sismo de 2015, 33 de esos espacios recibieron a casi 31.000 personas. En 2020, OIM encontró que </w:t>
            </w:r>
            <w:r>
              <w:rPr>
                <w:b/>
              </w:rPr>
              <w:t>solo la mitad seguía siendo utilizable</w:t>
            </w:r>
            <w:r>
              <w:rPr/>
              <w:t xml:space="preserve"> por construcciones nuevas.</w:t>
            </w:r>
          </w:p>
        </w:tc>
        <w:tc>
          <w:tcPr>
            <w:tcW w:w="1744" w:type="dxa"/>
            <w:tcBorders/>
            <w:vAlign w:val="center"/>
          </w:tcPr>
          <w:p>
            <w:pPr>
              <w:pStyle w:val="TableContents"/>
              <w:bidi w:val="0"/>
              <w:spacing w:before="0" w:after="283"/>
              <w:jc w:val="start"/>
              <w:rPr/>
            </w:pPr>
            <w:r>
              <w:rPr/>
              <w:t xml:space="preserve">Un inventario oficial y previo, con revisión periódica: la ficha debe tener </w:t>
            </w:r>
            <w:r>
              <w:rPr>
                <w:b/>
              </w:rPr>
              <w:t>fecha de última verificación</w:t>
            </w:r>
            <w:r>
              <w:rPr/>
              <w:t>.</w:t>
            </w:r>
          </w:p>
        </w:tc>
      </w:tr>
      <w:tr>
        <w:trPr/>
        <w:tc>
          <w:tcPr>
            <w:tcW w:w="1044" w:type="dxa"/>
            <w:tcBorders/>
            <w:vAlign w:val="center"/>
          </w:tcPr>
          <w:p>
            <w:pPr>
              <w:pStyle w:val="TableContents"/>
              <w:bidi w:val="0"/>
              <w:spacing w:before="0" w:after="283"/>
              <w:jc w:val="start"/>
              <w:rPr/>
            </w:pPr>
            <w:r>
              <w:rPr/>
              <w:t>Turquía (Estambul)</w:t>
            </w:r>
          </w:p>
        </w:tc>
        <w:tc>
          <w:tcPr>
            <w:tcW w:w="2676" w:type="dxa"/>
            <w:tcBorders/>
            <w:vAlign w:val="center"/>
          </w:tcPr>
          <w:p>
            <w:pPr>
              <w:pStyle w:val="TableContents"/>
              <w:bidi w:val="0"/>
              <w:spacing w:before="0" w:after="283"/>
              <w:jc w:val="start"/>
              <w:rPr/>
            </w:pPr>
            <w:r>
              <w:rPr/>
              <w:t xml:space="preserve">Tras el sismo de 1999 se definieron 470 áreas de reunión; más de 300 terminaron convertidas en centros comerciales, viviendas u oficinas porque </w:t>
            </w:r>
            <w:r>
              <w:rPr>
                <w:b/>
              </w:rPr>
              <w:t>no tenían protección legal</w:t>
            </w:r>
            <w:r>
              <w:rPr/>
              <w:t>.</w:t>
            </w:r>
          </w:p>
        </w:tc>
        <w:tc>
          <w:tcPr>
            <w:tcW w:w="1744" w:type="dxa"/>
            <w:tcBorders/>
            <w:vAlign w:val="center"/>
          </w:tcPr>
          <w:p>
            <w:pPr>
              <w:pStyle w:val="TableContents"/>
              <w:bidi w:val="0"/>
              <w:spacing w:before="0" w:after="283"/>
              <w:jc w:val="start"/>
              <w:rPr/>
            </w:pPr>
            <w:r>
              <w:rPr/>
              <w:t>Lección negativa: proponer que los espacios aptos queden protegidos en el POT o en el Plan Municipal de Gestión del Riesgo.</w:t>
            </w:r>
          </w:p>
        </w:tc>
      </w:tr>
      <w:tr>
        <w:trPr/>
        <w:tc>
          <w:tcPr>
            <w:tcW w:w="1044" w:type="dxa"/>
            <w:tcBorders/>
            <w:vAlign w:val="center"/>
          </w:tcPr>
          <w:p>
            <w:pPr>
              <w:pStyle w:val="TableContents"/>
              <w:bidi w:val="0"/>
              <w:spacing w:before="0" w:after="283"/>
              <w:jc w:val="start"/>
              <w:rPr/>
            </w:pPr>
            <w:r>
              <w:rPr/>
              <w:t>México (CDMX)</w:t>
            </w:r>
          </w:p>
        </w:tc>
        <w:tc>
          <w:tcPr>
            <w:tcW w:w="2676" w:type="dxa"/>
            <w:tcBorders/>
            <w:vAlign w:val="center"/>
          </w:tcPr>
          <w:p>
            <w:pPr>
              <w:pStyle w:val="TableContents"/>
              <w:bidi w:val="0"/>
              <w:spacing w:before="0" w:after="283"/>
              <w:jc w:val="start"/>
              <w:rPr/>
            </w:pPr>
            <w:r>
              <w:rPr/>
              <w:t xml:space="preserve">El SASMEX da la alerta sísmica y el C5 la difunde por </w:t>
            </w:r>
            <w:r>
              <w:rPr>
                <w:b/>
              </w:rPr>
              <w:t>28.287 altavoces</w:t>
            </w:r>
            <w:r>
              <w:rPr/>
              <w:t>. En el Simulacro Nacional del 19 de septiembre de 2026 funcionó el 98,93 % (303 fallaron) y la ciudadanía reporta las fallas.</w:t>
            </w:r>
          </w:p>
        </w:tc>
        <w:tc>
          <w:tcPr>
            <w:tcW w:w="1744" w:type="dxa"/>
            <w:tcBorders/>
            <w:vAlign w:val="center"/>
          </w:tcPr>
          <w:p>
            <w:pPr>
              <w:pStyle w:val="TableContents"/>
              <w:bidi w:val="0"/>
              <w:spacing w:before="0" w:after="283"/>
              <w:jc w:val="start"/>
              <w:rPr/>
            </w:pPr>
            <w:r>
              <w:rPr/>
              <w:t>Simulacros periódicos de activación de espacios, con un indicador de qué funcionó y qué no.</w:t>
            </w:r>
          </w:p>
        </w:tc>
      </w:tr>
    </w:tbl>
    <w:p>
      <w:pPr>
        <w:pStyle w:val="BodyText"/>
        <w:bidi w:val="0"/>
        <w:jc w:val="start"/>
        <w:rPr>
          <w:b/>
        </w:rPr>
      </w:pPr>
      <w:r>
        <w:rPr>
          <w:b/>
        </w:rPr>
        <w:t>Inundación</w:t>
      </w:r>
    </w:p>
    <w:tbl>
      <w:tblPr>
        <w:tblW w:w="5464" w:type="dxa"/>
        <w:jc w:val="start"/>
        <w:tblInd w:w="0" w:type="dxa"/>
        <w:tblLayout w:type="fixed"/>
        <w:tblCellMar>
          <w:top w:w="28" w:type="dxa"/>
          <w:start w:w="28" w:type="dxa"/>
          <w:bottom w:w="28" w:type="dxa"/>
          <w:end w:w="28" w:type="dxa"/>
        </w:tblCellMar>
      </w:tblPr>
      <w:tblGrid>
        <w:gridCol w:w="1247"/>
        <w:gridCol w:w="2316"/>
        <w:gridCol w:w="1901"/>
      </w:tblGrid>
      <w:tr>
        <w:trPr/>
        <w:tc>
          <w:tcPr>
            <w:tcW w:w="1247" w:type="dxa"/>
            <w:tcBorders/>
            <w:vAlign w:val="center"/>
          </w:tcPr>
          <w:p>
            <w:pPr>
              <w:pStyle w:val="TableHeading"/>
              <w:suppressLineNumbers/>
              <w:shd w:fill="0B4F6C" w:val="clear"/>
              <w:bidi w:val="0"/>
              <w:spacing w:before="0" w:after="283"/>
              <w:jc w:val="start"/>
              <w:rPr/>
            </w:pPr>
            <w:r>
              <w:rPr/>
              <w:t>País</w:t>
            </w:r>
          </w:p>
        </w:tc>
        <w:tc>
          <w:tcPr>
            <w:tcW w:w="2316" w:type="dxa"/>
            <w:tcBorders/>
            <w:vAlign w:val="center"/>
          </w:tcPr>
          <w:p>
            <w:pPr>
              <w:pStyle w:val="TableHeading"/>
              <w:suppressLineNumbers/>
              <w:shd w:fill="0B4F6C" w:val="clear"/>
              <w:bidi w:val="0"/>
              <w:spacing w:before="0" w:after="283"/>
              <w:jc w:val="start"/>
              <w:rPr/>
            </w:pPr>
            <w:r>
              <w:rPr/>
              <w:t>Qué hacen</w:t>
            </w:r>
          </w:p>
        </w:tc>
        <w:tc>
          <w:tcPr>
            <w:tcW w:w="1901" w:type="dxa"/>
            <w:tcBorders/>
            <w:vAlign w:val="center"/>
          </w:tcPr>
          <w:p>
            <w:pPr>
              <w:pStyle w:val="TableHeading"/>
              <w:suppressLineNumbers/>
              <w:shd w:fill="0B4F6C" w:val="clear"/>
              <w:bidi w:val="0"/>
              <w:spacing w:before="0" w:after="283"/>
              <w:jc w:val="start"/>
              <w:rPr/>
            </w:pPr>
            <w:r>
              <w:rPr/>
              <w:t>Qué adaptamos a Cali</w:t>
            </w:r>
          </w:p>
        </w:tc>
      </w:tr>
      <w:tr>
        <w:trPr/>
        <w:tc>
          <w:tcPr>
            <w:tcW w:w="1247" w:type="dxa"/>
            <w:tcBorders/>
            <w:vAlign w:val="center"/>
          </w:tcPr>
          <w:p>
            <w:pPr>
              <w:pStyle w:val="TableContents"/>
              <w:bidi w:val="0"/>
              <w:spacing w:before="0" w:after="283"/>
              <w:jc w:val="start"/>
              <w:rPr/>
            </w:pPr>
            <w:r>
              <w:rPr/>
              <w:t>Japón (Yokohama)</w:t>
            </w:r>
          </w:p>
        </w:tc>
        <w:tc>
          <w:tcPr>
            <w:tcW w:w="2316" w:type="dxa"/>
            <w:tcBorders/>
            <w:vAlign w:val="center"/>
          </w:tcPr>
          <w:p>
            <w:pPr>
              <w:pStyle w:val="TableContents"/>
              <w:bidi w:val="0"/>
              <w:spacing w:before="0" w:after="283"/>
              <w:jc w:val="start"/>
              <w:rPr/>
            </w:pPr>
            <w:r>
              <w:rPr/>
              <w:t xml:space="preserve">El </w:t>
            </w:r>
            <w:r>
              <w:rPr>
                <w:b/>
              </w:rPr>
              <w:t>estadio Nissan</w:t>
            </w:r>
            <w:r>
              <w:rPr/>
              <w:t xml:space="preserve"> está construido sobre pilotes dentro de la cuenca de retención del río Tsurumi (parque Shin-Yokohama): cuando el río se desborda, el agua pasa por debajo y el parque se inunda a propósito. Con el tifón Hagibis (12 de octubre de 2019) la cuenca se llenó, y al día siguiente el partido Japón-Escocia del Mundial de Rugby se jugó sin problemas.</w:t>
            </w:r>
          </w:p>
        </w:tc>
        <w:tc>
          <w:tcPr>
            <w:tcW w:w="1901" w:type="dxa"/>
            <w:tcBorders/>
            <w:vAlign w:val="center"/>
          </w:tcPr>
          <w:p>
            <w:pPr>
              <w:pStyle w:val="TableContents"/>
              <w:bidi w:val="0"/>
              <w:spacing w:before="0" w:after="283"/>
              <w:jc w:val="start"/>
              <w:rPr/>
            </w:pPr>
            <w:r>
              <w:rPr/>
              <w:t xml:space="preserve">La aptitud cambia con la amenaza: un espacio puede ser </w:t>
            </w:r>
            <w:r>
              <w:rPr>
                <w:b/>
              </w:rPr>
              <w:t>zona de amortiguación</w:t>
            </w:r>
            <w:r>
              <w:rPr/>
              <w:t xml:space="preserve"> en una inundación y </w:t>
            </w:r>
            <w:r>
              <w:rPr>
                <w:b/>
              </w:rPr>
              <w:t>albergue</w:t>
            </w:r>
            <w:r>
              <w:rPr/>
              <w:t xml:space="preserve"> en un sismo. El sistema debe saber cuál de los dos papeles le toca.</w:t>
            </w:r>
          </w:p>
        </w:tc>
      </w:tr>
      <w:tr>
        <w:trPr/>
        <w:tc>
          <w:tcPr>
            <w:tcW w:w="1247" w:type="dxa"/>
            <w:tcBorders/>
            <w:vAlign w:val="center"/>
          </w:tcPr>
          <w:p>
            <w:pPr>
              <w:pStyle w:val="TableContents"/>
              <w:bidi w:val="0"/>
              <w:spacing w:before="0" w:after="283"/>
              <w:jc w:val="start"/>
              <w:rPr/>
            </w:pPr>
            <w:r>
              <w:rPr/>
              <w:t>Países Bajos (Róterdam)</w:t>
            </w:r>
          </w:p>
        </w:tc>
        <w:tc>
          <w:tcPr>
            <w:tcW w:w="2316" w:type="dxa"/>
            <w:tcBorders/>
            <w:vAlign w:val="center"/>
          </w:tcPr>
          <w:p>
            <w:pPr>
              <w:pStyle w:val="TableContents"/>
              <w:bidi w:val="0"/>
              <w:spacing w:before="0" w:after="283"/>
              <w:jc w:val="start"/>
              <w:rPr/>
            </w:pPr>
            <w:r>
              <w:rPr>
                <w:b/>
              </w:rPr>
              <w:t>Plaza de agua Benthemplein:</w:t>
            </w:r>
            <w:r>
              <w:rPr/>
              <w:t xml:space="preserve"> canchas de baloncesto y skate hundidas que, en un aguacero, almacenan unos 1.700 m³ (una piscina olímpica) y alivian el alcantarillado.</w:t>
            </w:r>
          </w:p>
        </w:tc>
        <w:tc>
          <w:tcPr>
            <w:tcW w:w="1901" w:type="dxa"/>
            <w:tcBorders/>
            <w:vAlign w:val="center"/>
          </w:tcPr>
          <w:p>
            <w:pPr>
              <w:pStyle w:val="TableContents"/>
              <w:bidi w:val="0"/>
              <w:spacing w:before="0" w:after="283"/>
              <w:jc w:val="start"/>
              <w:rPr/>
            </w:pPr>
            <w:r>
              <w:rPr/>
              <w:t>Un parque o una cancha puede ser amortiguador, no albergue.</w:t>
            </w:r>
          </w:p>
        </w:tc>
      </w:tr>
      <w:tr>
        <w:trPr/>
        <w:tc>
          <w:tcPr>
            <w:tcW w:w="1247" w:type="dxa"/>
            <w:tcBorders/>
            <w:vAlign w:val="center"/>
          </w:tcPr>
          <w:p>
            <w:pPr>
              <w:pStyle w:val="TableContents"/>
              <w:bidi w:val="0"/>
              <w:spacing w:before="0" w:after="283"/>
              <w:jc w:val="start"/>
              <w:rPr/>
            </w:pPr>
            <w:r>
              <w:rPr/>
              <w:t>Dinamarca (Copenhague)</w:t>
            </w:r>
          </w:p>
        </w:tc>
        <w:tc>
          <w:tcPr>
            <w:tcW w:w="2316" w:type="dxa"/>
            <w:tcBorders/>
            <w:vAlign w:val="center"/>
          </w:tcPr>
          <w:p>
            <w:pPr>
              <w:pStyle w:val="TableContents"/>
              <w:bidi w:val="0"/>
              <w:spacing w:before="0" w:after="283"/>
              <w:jc w:val="start"/>
              <w:rPr/>
            </w:pPr>
            <w:r>
              <w:rPr/>
              <w:t xml:space="preserve">El </w:t>
            </w:r>
            <w:r>
              <w:rPr>
                <w:b/>
              </w:rPr>
              <w:t>Plan de Aguaceros</w:t>
            </w:r>
            <w:r>
              <w:rPr/>
              <w:t xml:space="preserve"> tiene unos 300 proyectos. El parque Enghaveparken tiene muros con compuertas que suben solas y lo convierten en un depósito de 22.600 m³.</w:t>
            </w:r>
          </w:p>
        </w:tc>
        <w:tc>
          <w:tcPr>
            <w:tcW w:w="1901" w:type="dxa"/>
            <w:tcBorders/>
            <w:vAlign w:val="center"/>
          </w:tcPr>
          <w:p>
            <w:pPr>
              <w:pStyle w:val="TableContents"/>
              <w:bidi w:val="0"/>
              <w:spacing w:before="0" w:after="283"/>
              <w:jc w:val="start"/>
              <w:rPr/>
            </w:pPr>
            <w:r>
              <w:rPr/>
              <w:t>Umbrales automáticos, como el "río Cauca ≥ 9 m" del plan.</w:t>
            </w:r>
          </w:p>
        </w:tc>
      </w:tr>
      <w:tr>
        <w:trPr/>
        <w:tc>
          <w:tcPr>
            <w:tcW w:w="1247" w:type="dxa"/>
            <w:tcBorders/>
            <w:vAlign w:val="center"/>
          </w:tcPr>
          <w:p>
            <w:pPr>
              <w:pStyle w:val="TableContents"/>
              <w:bidi w:val="0"/>
              <w:spacing w:before="0" w:after="283"/>
              <w:jc w:val="start"/>
              <w:rPr/>
            </w:pPr>
            <w:r>
              <w:rPr/>
              <w:t>China</w:t>
            </w:r>
          </w:p>
        </w:tc>
        <w:tc>
          <w:tcPr>
            <w:tcW w:w="2316" w:type="dxa"/>
            <w:tcBorders/>
            <w:vAlign w:val="center"/>
          </w:tcPr>
          <w:p>
            <w:pPr>
              <w:pStyle w:val="TableContents"/>
              <w:bidi w:val="0"/>
              <w:spacing w:before="0" w:after="283"/>
              <w:jc w:val="start"/>
              <w:rPr/>
            </w:pPr>
            <w:r>
              <w:rPr>
                <w:b/>
              </w:rPr>
              <w:t>Ciudades esponja</w:t>
            </w:r>
            <w:r>
              <w:rPr/>
              <w:t xml:space="preserve"> (desde 2015): la meta es que en 2030 el 80 % del área urbana absorba y reutilice al menos el 70 % de la lluvia. Hoy hay más de 640 proyectos en 250 municipios.</w:t>
            </w:r>
          </w:p>
        </w:tc>
        <w:tc>
          <w:tcPr>
            <w:tcW w:w="1901" w:type="dxa"/>
            <w:tcBorders/>
            <w:vAlign w:val="center"/>
          </w:tcPr>
          <w:p>
            <w:pPr>
              <w:pStyle w:val="TableContents"/>
              <w:bidi w:val="0"/>
              <w:spacing w:before="0" w:after="283"/>
              <w:jc w:val="start"/>
              <w:rPr/>
            </w:pPr>
            <w:r>
              <w:rPr/>
              <w:t>Contexto para el "después": reconstruir el espacio pensando en la próxima amenaza.</w:t>
            </w:r>
          </w:p>
        </w:tc>
      </w:tr>
    </w:tbl>
    <w:p>
      <w:pPr>
        <w:pStyle w:val="BodyText"/>
        <w:bidi w:val="0"/>
        <w:jc w:val="start"/>
        <w:rPr>
          <w:b/>
        </w:rPr>
      </w:pPr>
      <w:r>
        <w:rPr>
          <w:b/>
        </w:rPr>
        <w:t>Sequía o El Niño</w:t>
      </w:r>
    </w:p>
    <w:tbl>
      <w:tblPr>
        <w:tblW w:w="5464" w:type="dxa"/>
        <w:jc w:val="start"/>
        <w:tblInd w:w="0" w:type="dxa"/>
        <w:tblLayout w:type="fixed"/>
        <w:tblCellMar>
          <w:top w:w="28" w:type="dxa"/>
          <w:start w:w="28" w:type="dxa"/>
          <w:bottom w:w="28" w:type="dxa"/>
          <w:end w:w="28" w:type="dxa"/>
        </w:tblCellMar>
      </w:tblPr>
      <w:tblGrid>
        <w:gridCol w:w="1069"/>
        <w:gridCol w:w="2959"/>
        <w:gridCol w:w="1436"/>
      </w:tblGrid>
      <w:tr>
        <w:trPr/>
        <w:tc>
          <w:tcPr>
            <w:tcW w:w="1069" w:type="dxa"/>
            <w:tcBorders/>
            <w:vAlign w:val="center"/>
          </w:tcPr>
          <w:p>
            <w:pPr>
              <w:pStyle w:val="TableHeading"/>
              <w:suppressLineNumbers/>
              <w:shd w:fill="0B4F6C" w:val="clear"/>
              <w:bidi w:val="0"/>
              <w:spacing w:before="0" w:after="283"/>
              <w:jc w:val="start"/>
              <w:rPr/>
            </w:pPr>
            <w:r>
              <w:rPr/>
              <w:t>País</w:t>
            </w:r>
          </w:p>
        </w:tc>
        <w:tc>
          <w:tcPr>
            <w:tcW w:w="2959" w:type="dxa"/>
            <w:tcBorders/>
            <w:vAlign w:val="center"/>
          </w:tcPr>
          <w:p>
            <w:pPr>
              <w:pStyle w:val="TableHeading"/>
              <w:suppressLineNumbers/>
              <w:shd w:fill="0B4F6C" w:val="clear"/>
              <w:bidi w:val="0"/>
              <w:spacing w:before="0" w:after="283"/>
              <w:jc w:val="start"/>
              <w:rPr/>
            </w:pPr>
            <w:r>
              <w:rPr/>
              <w:t>Qué hacen</w:t>
            </w:r>
          </w:p>
        </w:tc>
        <w:tc>
          <w:tcPr>
            <w:tcW w:w="1436" w:type="dxa"/>
            <w:tcBorders/>
            <w:vAlign w:val="center"/>
          </w:tcPr>
          <w:p>
            <w:pPr>
              <w:pStyle w:val="TableHeading"/>
              <w:suppressLineNumbers/>
              <w:shd w:fill="0B4F6C" w:val="clear"/>
              <w:bidi w:val="0"/>
              <w:spacing w:before="0" w:after="283"/>
              <w:jc w:val="start"/>
              <w:rPr/>
            </w:pPr>
            <w:r>
              <w:rPr/>
              <w:t>Qué adaptamos a Cali</w:t>
            </w:r>
          </w:p>
        </w:tc>
      </w:tr>
      <w:tr>
        <w:trPr/>
        <w:tc>
          <w:tcPr>
            <w:tcW w:w="1069" w:type="dxa"/>
            <w:tcBorders/>
            <w:vAlign w:val="center"/>
          </w:tcPr>
          <w:p>
            <w:pPr>
              <w:pStyle w:val="TableContents"/>
              <w:bidi w:val="0"/>
              <w:spacing w:before="0" w:after="283"/>
              <w:jc w:val="start"/>
              <w:rPr/>
            </w:pPr>
            <w:r>
              <w:rPr/>
              <w:t>Alemania</w:t>
            </w:r>
          </w:p>
        </w:tc>
        <w:tc>
          <w:tcPr>
            <w:tcW w:w="2959" w:type="dxa"/>
            <w:tcBorders/>
            <w:vAlign w:val="center"/>
          </w:tcPr>
          <w:p>
            <w:pPr>
              <w:pStyle w:val="TableContents"/>
              <w:bidi w:val="0"/>
              <w:spacing w:before="0" w:after="283"/>
              <w:jc w:val="start"/>
              <w:rPr/>
            </w:pPr>
            <w:r>
              <w:rPr/>
              <w:t xml:space="preserve">La Ley de Aseguramiento del Agua (*Wassersicherstellungsgesetz*, 1965) mantiene unos </w:t>
            </w:r>
            <w:r>
              <w:rPr>
                <w:b/>
              </w:rPr>
              <w:t>5.200 pozos de emergencia</w:t>
            </w:r>
            <w:r>
              <w:rPr/>
              <w:t xml:space="preserve"> independientes de la red, sobre todo en zonas residenciales de las ciudades grandes. Berlín tiene unos 900 pozos de calle.</w:t>
            </w:r>
          </w:p>
        </w:tc>
        <w:tc>
          <w:tcPr>
            <w:tcW w:w="1436" w:type="dxa"/>
            <w:tcBorders/>
            <w:vAlign w:val="center"/>
          </w:tcPr>
          <w:p>
            <w:pPr>
              <w:pStyle w:val="TableContents"/>
              <w:bidi w:val="0"/>
              <w:spacing w:before="0" w:after="283"/>
              <w:jc w:val="start"/>
              <w:rPr/>
            </w:pPr>
            <w:r>
              <w:rPr/>
              <w:t>Mapear las fuentes de agua alternas (pozos, tanques, carrotanques) asociadas a cada espacio.</w:t>
            </w:r>
          </w:p>
        </w:tc>
      </w:tr>
      <w:tr>
        <w:trPr/>
        <w:tc>
          <w:tcPr>
            <w:tcW w:w="1069" w:type="dxa"/>
            <w:tcBorders/>
            <w:vAlign w:val="center"/>
          </w:tcPr>
          <w:p>
            <w:pPr>
              <w:pStyle w:val="TableContents"/>
              <w:bidi w:val="0"/>
              <w:spacing w:before="0" w:after="283"/>
              <w:jc w:val="start"/>
              <w:rPr/>
            </w:pPr>
            <w:r>
              <w:rPr/>
              <w:t>Sudáfrica (Ciudad del Cabo, 2018)</w:t>
            </w:r>
          </w:p>
        </w:tc>
        <w:tc>
          <w:tcPr>
            <w:tcW w:w="2959" w:type="dxa"/>
            <w:tcBorders/>
            <w:vAlign w:val="center"/>
          </w:tcPr>
          <w:p>
            <w:pPr>
              <w:pStyle w:val="TableContents"/>
              <w:bidi w:val="0"/>
              <w:spacing w:before="0" w:after="283"/>
              <w:jc w:val="start"/>
              <w:rPr/>
            </w:pPr>
            <w:r>
              <w:rPr/>
              <w:t xml:space="preserve">El plan del "Día Cero" definía unos 200 </w:t>
            </w:r>
            <w:r>
              <w:rPr>
                <w:b/>
              </w:rPr>
              <w:t>puntos de recolección de agua</w:t>
            </w:r>
            <w:r>
              <w:rPr/>
              <w:t xml:space="preserve"> en espacios públicos, a 25 L por persona al día, con horario ampliable y seguridad de Policía y Ejército. Los carrotanques atendían primero a hogares de adultos mayores y de personas sin hogar. El Día Cero no llegó porque la ciudad redujo el consumo.</w:t>
            </w:r>
          </w:p>
        </w:tc>
        <w:tc>
          <w:tcPr>
            <w:tcW w:w="1436" w:type="dxa"/>
            <w:tcBorders/>
            <w:vAlign w:val="center"/>
          </w:tcPr>
          <w:p>
            <w:pPr>
              <w:pStyle w:val="TableContents"/>
              <w:bidi w:val="0"/>
              <w:spacing w:before="0" w:after="283"/>
              <w:jc w:val="start"/>
              <w:rPr/>
            </w:pPr>
            <w:r>
              <w:rPr/>
              <w:t xml:space="preserve">Un tercer papel para el espacio público: </w:t>
            </w:r>
            <w:r>
              <w:rPr>
                <w:b/>
              </w:rPr>
              <w:t>punto de distribución de agua</w:t>
            </w:r>
            <w:r>
              <w:rPr/>
              <w:t>, además de albergue y amortiguador. Poblaciones priorizadas.</w:t>
            </w:r>
          </w:p>
        </w:tc>
      </w:tr>
      <w:tr>
        <w:trPr/>
        <w:tc>
          <w:tcPr>
            <w:tcW w:w="1069" w:type="dxa"/>
            <w:tcBorders/>
            <w:vAlign w:val="center"/>
          </w:tcPr>
          <w:p>
            <w:pPr>
              <w:pStyle w:val="TableContents"/>
              <w:bidi w:val="0"/>
              <w:spacing w:before="0" w:after="283"/>
              <w:jc w:val="start"/>
              <w:rPr/>
            </w:pPr>
            <w:r>
              <w:rPr/>
              <w:t>España (Barcelona, 2024)</w:t>
            </w:r>
          </w:p>
        </w:tc>
        <w:tc>
          <w:tcPr>
            <w:tcW w:w="2959" w:type="dxa"/>
            <w:tcBorders/>
            <w:vAlign w:val="center"/>
          </w:tcPr>
          <w:p>
            <w:pPr>
              <w:pStyle w:val="TableContents"/>
              <w:bidi w:val="0"/>
              <w:spacing w:before="0" w:after="283"/>
              <w:jc w:val="start"/>
              <w:rPr/>
            </w:pPr>
            <w:r>
              <w:rPr/>
              <w:t>Emergencia por sequía (embalses por debajo del 16 %): bajó la dotación de 210 a 200 L por persona al día, se cerraron fuentes ornamentales y parques acuáticos, y se dejó de regar los parques; los árboles se regaban lo mínimo con agua subterránea.</w:t>
            </w:r>
          </w:p>
        </w:tc>
        <w:tc>
          <w:tcPr>
            <w:tcW w:w="1436" w:type="dxa"/>
            <w:tcBorders/>
            <w:vAlign w:val="center"/>
          </w:tcPr>
          <w:p>
            <w:pPr>
              <w:pStyle w:val="TableContents"/>
              <w:bidi w:val="0"/>
              <w:spacing w:before="0" w:after="283"/>
              <w:jc w:val="start"/>
              <w:rPr/>
            </w:pPr>
            <w:r>
              <w:rPr/>
              <w:t>Qué se apaga en un espacio (riego, fuentes, piscinas) y qué se prende (punto de agua, refugio climático) cuando El Niño llegue a su pico en noviembre.</w:t>
            </w:r>
          </w:p>
        </w:tc>
      </w:tr>
    </w:tbl>
    <w:p>
      <w:pPr>
        <w:pStyle w:val="BodyText"/>
        <w:bidi w:val="0"/>
        <w:jc w:val="start"/>
        <w:rPr/>
      </w:pPr>
      <w:r>
        <w:rPr>
          <w:b/>
        </w:rPr>
        <w:t>Conclusión para la propuesta:</w:t>
      </w:r>
      <w:r>
        <w:rPr/>
        <w:t xml:space="preserve"> ningún referente usa el mismo espacio igual para las tres amenazas. Eso respalda la idea central de "Cali Activa": </w:t>
      </w:r>
      <w:r>
        <w:rPr>
          <w:b/>
        </w:rPr>
        <w:t>la aptitud es por amenaza</w:t>
      </w:r>
      <w:r>
        <w:rPr/>
        <w:t xml:space="preserve"> y cada espacio tiene uno de tres papeles posibles, </w:t>
      </w:r>
      <w:r>
        <w:rPr>
          <w:b/>
        </w:rPr>
        <w:t>albergue, amortiguador o punto de agua</w:t>
      </w:r>
      <w:r>
        <w:rPr/>
        <w:t>. En Colombia la decisión de activarlo sigue siendo de la autoridad (Ley 1523). Obras como el estadio sobre pilotes o los tanques enterrados son de largo plazo y salen del alcance del prototipo; en la ficha solo se registran como atributos del espacio.</w:t>
      </w:r>
    </w:p>
    <w:p>
      <w:pPr>
        <w:pStyle w:val="Heading2"/>
        <w:bidi w:val="0"/>
        <w:jc w:val="start"/>
        <w:rPr/>
      </w:pPr>
      <w:r>
        <w:rPr/>
        <w:t>6. La propuesta: "Cali Activa: espacios listos para cualquier amenaza"</w:t>
      </w:r>
    </w:p>
    <w:p>
      <w:pPr>
        <w:pStyle w:val="BodyText"/>
        <w:bidi w:val="0"/>
        <w:jc w:val="start"/>
        <w:rPr/>
      </w:pPr>
      <w:r>
        <w:rPr>
          <w:b/>
        </w:rPr>
        <w:t>Idea central:</w:t>
      </w:r>
      <w:r>
        <w:rPr/>
        <w:t xml:space="preserve"> la aptitud de un espacio depende de la amenaza. Una cancha del oriente sirve para un sismo pero no para una inundación. Un coliseo de ladera sirve para una inundación pero queda sin agua en El Niño. El plan incluye los albergues autogestionados que la ciudad no tenía mapeados. La estructura sigue los tres procesos de la Ley 1523: conocimiento del riesgo, reducción y manejo.</w:t>
      </w:r>
    </w:p>
    <w:p>
      <w:pPr>
        <w:pStyle w:val="Heading3"/>
        <w:bidi w:val="0"/>
        <w:jc w:val="start"/>
        <w:rPr/>
      </w:pPr>
      <w:r>
        <w:rPr/>
        <w:t>ANTES (preparación)</w:t>
      </w:r>
    </w:p>
    <w:tbl>
      <w:tblPr>
        <w:tblW w:w="5464" w:type="dxa"/>
        <w:jc w:val="start"/>
        <w:tblInd w:w="0" w:type="dxa"/>
        <w:tblLayout w:type="fixed"/>
        <w:tblCellMar>
          <w:top w:w="28" w:type="dxa"/>
          <w:start w:w="28" w:type="dxa"/>
          <w:bottom w:w="28" w:type="dxa"/>
          <w:end w:w="28" w:type="dxa"/>
        </w:tblCellMar>
      </w:tblPr>
      <w:tblGrid>
        <w:gridCol w:w="3076"/>
        <w:gridCol w:w="2388"/>
      </w:tblGrid>
      <w:tr>
        <w:trPr/>
        <w:tc>
          <w:tcPr>
            <w:tcW w:w="3076" w:type="dxa"/>
            <w:tcBorders/>
            <w:vAlign w:val="center"/>
          </w:tcPr>
          <w:p>
            <w:pPr>
              <w:pStyle w:val="TableHeading"/>
              <w:suppressLineNumbers/>
              <w:shd w:fill="0B4F6C" w:val="clear"/>
              <w:bidi w:val="0"/>
              <w:spacing w:before="0" w:after="283"/>
              <w:jc w:val="start"/>
              <w:rPr/>
            </w:pPr>
            <w:r>
              <w:rPr/>
              <w:t>Mecanismo</w:t>
            </w:r>
          </w:p>
        </w:tc>
        <w:tc>
          <w:tcPr>
            <w:tcW w:w="2388" w:type="dxa"/>
            <w:tcBorders/>
            <w:vAlign w:val="center"/>
          </w:tcPr>
          <w:p>
            <w:pPr>
              <w:pStyle w:val="TableHeading"/>
              <w:suppressLineNumbers/>
              <w:shd w:fill="0B4F6C" w:val="clear"/>
              <w:bidi w:val="0"/>
              <w:spacing w:before="0" w:after="283"/>
              <w:jc w:val="start"/>
              <w:rPr/>
            </w:pPr>
            <w:r>
              <w:rPr/>
              <w:t>Organismo responsable</w:t>
            </w:r>
          </w:p>
        </w:tc>
      </w:tr>
      <w:tr>
        <w:trPr/>
        <w:tc>
          <w:tcPr>
            <w:tcW w:w="3076" w:type="dxa"/>
            <w:tcBorders/>
            <w:vAlign w:val="center"/>
          </w:tcPr>
          <w:p>
            <w:pPr>
              <w:pStyle w:val="TableContents"/>
              <w:bidi w:val="0"/>
              <w:spacing w:before="0" w:after="283"/>
              <w:jc w:val="start"/>
              <w:rPr/>
            </w:pPr>
            <w:r>
              <w:rPr/>
              <w:t>Ficha de aptitud por espacio y por amenaza: capacidad, baños, agua, energía, accesibilidad, zona de amenaza, evaluación estructural vigente</w:t>
            </w:r>
          </w:p>
        </w:tc>
        <w:tc>
          <w:tcPr>
            <w:tcW w:w="2388" w:type="dxa"/>
            <w:tcBorders/>
            <w:vAlign w:val="center"/>
          </w:tcPr>
          <w:p>
            <w:pPr>
              <w:pStyle w:val="TableContents"/>
              <w:bidi w:val="0"/>
              <w:spacing w:before="0" w:after="283"/>
              <w:jc w:val="start"/>
              <w:rPr/>
            </w:pPr>
            <w:r>
              <w:rPr/>
              <w:t>Secretaría de Gestión del Riesgo (líder), Planeación, Secretaría del Deporte, Bienes y Servicios, DATIC</w:t>
            </w:r>
          </w:p>
        </w:tc>
      </w:tr>
      <w:tr>
        <w:trPr/>
        <w:tc>
          <w:tcPr>
            <w:tcW w:w="3076" w:type="dxa"/>
            <w:tcBorders/>
            <w:vAlign w:val="center"/>
          </w:tcPr>
          <w:p>
            <w:pPr>
              <w:pStyle w:val="TableContents"/>
              <w:bidi w:val="0"/>
              <w:spacing w:before="0" w:after="283"/>
              <w:jc w:val="start"/>
              <w:rPr/>
            </w:pPr>
            <w:r>
              <w:rPr/>
              <w:t>Umbrales de alerta que preactivan espacios (río Cauca ≥ 9 m, sismo, alerta roja por incendio)</w:t>
            </w:r>
          </w:p>
        </w:tc>
        <w:tc>
          <w:tcPr>
            <w:tcW w:w="2388" w:type="dxa"/>
            <w:tcBorders/>
            <w:vAlign w:val="center"/>
          </w:tcPr>
          <w:p>
            <w:pPr>
              <w:pStyle w:val="TableContents"/>
              <w:bidi w:val="0"/>
              <w:spacing w:before="0" w:after="283"/>
              <w:jc w:val="start"/>
              <w:rPr/>
            </w:pPr>
            <w:r>
              <w:rPr/>
              <w:t>IDEAM, CVC, Servicio Geológico Colombiano</w:t>
            </w:r>
          </w:p>
        </w:tc>
      </w:tr>
      <w:tr>
        <w:trPr/>
        <w:tc>
          <w:tcPr>
            <w:tcW w:w="3076" w:type="dxa"/>
            <w:tcBorders/>
            <w:vAlign w:val="center"/>
          </w:tcPr>
          <w:p>
            <w:pPr>
              <w:pStyle w:val="TableContents"/>
              <w:bidi w:val="0"/>
              <w:spacing w:before="0" w:after="283"/>
              <w:jc w:val="start"/>
              <w:rPr/>
            </w:pPr>
            <w:r>
              <w:rPr/>
              <w:t>Matriz de quién responde por cada servicio (Protocolo UNGRD)</w:t>
            </w:r>
          </w:p>
        </w:tc>
        <w:tc>
          <w:tcPr>
            <w:tcW w:w="2388" w:type="dxa"/>
            <w:tcBorders/>
            <w:vAlign w:val="center"/>
          </w:tcPr>
          <w:p>
            <w:pPr>
              <w:pStyle w:val="TableContents"/>
              <w:bidi w:val="0"/>
              <w:spacing w:before="0" w:after="283"/>
              <w:jc w:val="start"/>
              <w:rPr/>
            </w:pPr>
            <w:r>
              <w:rPr/>
              <w:t>Consejo Municipal de Gestión del Riesgo</w:t>
            </w:r>
          </w:p>
        </w:tc>
      </w:tr>
      <w:tr>
        <w:trPr/>
        <w:tc>
          <w:tcPr>
            <w:tcW w:w="3076" w:type="dxa"/>
            <w:tcBorders/>
            <w:vAlign w:val="center"/>
          </w:tcPr>
          <w:p>
            <w:pPr>
              <w:pStyle w:val="TableContents"/>
              <w:bidi w:val="0"/>
              <w:spacing w:before="0" w:after="283"/>
              <w:jc w:val="start"/>
              <w:rPr/>
            </w:pPr>
            <w:r>
              <w:rPr/>
              <w:t>Registro de líderes comunitarios y albergues autogestionados</w:t>
            </w:r>
          </w:p>
        </w:tc>
        <w:tc>
          <w:tcPr>
            <w:tcW w:w="2388" w:type="dxa"/>
            <w:tcBorders/>
            <w:vAlign w:val="center"/>
          </w:tcPr>
          <w:p>
            <w:pPr>
              <w:pStyle w:val="TableContents"/>
              <w:bidi w:val="0"/>
              <w:spacing w:before="0" w:after="283"/>
              <w:jc w:val="start"/>
              <w:rPr/>
            </w:pPr>
            <w:r>
              <w:rPr/>
              <w:t>Juntas de acción comunal, Bienestar Social</w:t>
            </w:r>
          </w:p>
        </w:tc>
      </w:tr>
    </w:tbl>
    <w:p>
      <w:pPr>
        <w:pStyle w:val="Heading3"/>
        <w:bidi w:val="0"/>
        <w:jc w:val="start"/>
        <w:rPr/>
      </w:pPr>
      <w:r>
        <w:rPr/>
        <w:t>DURANTE (activación y operación)</w:t>
      </w:r>
    </w:p>
    <w:tbl>
      <w:tblPr>
        <w:tblW w:w="5464" w:type="dxa"/>
        <w:jc w:val="start"/>
        <w:tblInd w:w="0" w:type="dxa"/>
        <w:tblLayout w:type="fixed"/>
        <w:tblCellMar>
          <w:top w:w="28" w:type="dxa"/>
          <w:start w:w="28" w:type="dxa"/>
          <w:bottom w:w="28" w:type="dxa"/>
          <w:end w:w="28" w:type="dxa"/>
        </w:tblCellMar>
      </w:tblPr>
      <w:tblGrid>
        <w:gridCol w:w="3122"/>
        <w:gridCol w:w="2342"/>
      </w:tblGrid>
      <w:tr>
        <w:trPr/>
        <w:tc>
          <w:tcPr>
            <w:tcW w:w="3122" w:type="dxa"/>
            <w:tcBorders/>
            <w:vAlign w:val="center"/>
          </w:tcPr>
          <w:p>
            <w:pPr>
              <w:pStyle w:val="TableHeading"/>
              <w:suppressLineNumbers/>
              <w:shd w:fill="0B4F6C" w:val="clear"/>
              <w:bidi w:val="0"/>
              <w:spacing w:before="0" w:after="283"/>
              <w:jc w:val="start"/>
              <w:rPr/>
            </w:pPr>
            <w:r>
              <w:rPr/>
              <w:t>Mecanismo</w:t>
            </w:r>
          </w:p>
        </w:tc>
        <w:tc>
          <w:tcPr>
            <w:tcW w:w="2342" w:type="dxa"/>
            <w:tcBorders/>
            <w:vAlign w:val="center"/>
          </w:tcPr>
          <w:p>
            <w:pPr>
              <w:pStyle w:val="TableHeading"/>
              <w:suppressLineNumbers/>
              <w:shd w:fill="0B4F6C" w:val="clear"/>
              <w:bidi w:val="0"/>
              <w:spacing w:before="0" w:after="283"/>
              <w:jc w:val="start"/>
              <w:rPr/>
            </w:pPr>
            <w:r>
              <w:rPr/>
              <w:t>Organismo responsable</w:t>
            </w:r>
          </w:p>
        </w:tc>
      </w:tr>
      <w:tr>
        <w:trPr/>
        <w:tc>
          <w:tcPr>
            <w:tcW w:w="3122" w:type="dxa"/>
            <w:tcBorders/>
            <w:vAlign w:val="center"/>
          </w:tcPr>
          <w:p>
            <w:pPr>
              <w:pStyle w:val="TableContents"/>
              <w:bidi w:val="0"/>
              <w:spacing w:before="0" w:after="283"/>
              <w:jc w:val="start"/>
              <w:rPr/>
            </w:pPr>
            <w:r>
              <w:rPr/>
              <w:t>El sistema recomienda los 3 mejores espacios según la amenaza y el número de personas; la decisión la toma la autoridad</w:t>
            </w:r>
          </w:p>
        </w:tc>
        <w:tc>
          <w:tcPr>
            <w:tcW w:w="2342" w:type="dxa"/>
            <w:tcBorders/>
            <w:vAlign w:val="center"/>
          </w:tcPr>
          <w:p>
            <w:pPr>
              <w:pStyle w:val="TableContents"/>
              <w:bidi w:val="0"/>
              <w:spacing w:before="0" w:after="283"/>
              <w:jc w:val="start"/>
              <w:rPr/>
            </w:pPr>
            <w:r>
              <w:rPr/>
              <w:t>Secretaría de Gestión del Riesgo, Consejo Municipal</w:t>
            </w:r>
          </w:p>
        </w:tc>
      </w:tr>
      <w:tr>
        <w:trPr/>
        <w:tc>
          <w:tcPr>
            <w:tcW w:w="3122" w:type="dxa"/>
            <w:tcBorders/>
            <w:vAlign w:val="center"/>
          </w:tcPr>
          <w:p>
            <w:pPr>
              <w:pStyle w:val="TableContents"/>
              <w:bidi w:val="0"/>
              <w:spacing w:before="0" w:after="283"/>
              <w:jc w:val="start"/>
              <w:rPr/>
            </w:pPr>
            <w:r>
              <w:rPr/>
              <w:t>Lista de brechas según Esfera, asignadas automáticamente a su entidad</w:t>
            </w:r>
          </w:p>
        </w:tc>
        <w:tc>
          <w:tcPr>
            <w:tcW w:w="2342" w:type="dxa"/>
            <w:tcBorders/>
            <w:vAlign w:val="center"/>
          </w:tcPr>
          <w:p>
            <w:pPr>
              <w:pStyle w:val="TableContents"/>
              <w:bidi w:val="0"/>
              <w:spacing w:before="0" w:after="283"/>
              <w:jc w:val="start"/>
              <w:rPr/>
            </w:pPr>
            <w:r>
              <w:rPr/>
              <w:t>EMCALI, UAESP, Salud Pública, ICBF, Bienestar Social, Policía, Cruz Roja, Defensa Civil</w:t>
            </w:r>
          </w:p>
        </w:tc>
      </w:tr>
      <w:tr>
        <w:trPr/>
        <w:tc>
          <w:tcPr>
            <w:tcW w:w="3122" w:type="dxa"/>
            <w:tcBorders/>
            <w:vAlign w:val="center"/>
          </w:tcPr>
          <w:p>
            <w:pPr>
              <w:pStyle w:val="TableContents"/>
              <w:bidi w:val="0"/>
              <w:spacing w:before="0" w:after="283"/>
              <w:jc w:val="start"/>
              <w:rPr/>
            </w:pPr>
            <w:r>
              <w:rPr/>
              <w:t>Caracterización mínima por ciclo vital (solo conteos)</w:t>
            </w:r>
          </w:p>
        </w:tc>
        <w:tc>
          <w:tcPr>
            <w:tcW w:w="2342" w:type="dxa"/>
            <w:tcBorders/>
            <w:vAlign w:val="center"/>
          </w:tcPr>
          <w:p>
            <w:pPr>
              <w:pStyle w:val="TableContents"/>
              <w:bidi w:val="0"/>
              <w:spacing w:before="0" w:after="283"/>
              <w:jc w:val="start"/>
              <w:rPr/>
            </w:pPr>
            <w:r>
              <w:rPr/>
              <w:t>Bienestar Social, con veeduría de la Defensoría y la Personería</w:t>
            </w:r>
          </w:p>
        </w:tc>
      </w:tr>
      <w:tr>
        <w:trPr/>
        <w:tc>
          <w:tcPr>
            <w:tcW w:w="3122" w:type="dxa"/>
            <w:tcBorders/>
            <w:vAlign w:val="center"/>
          </w:tcPr>
          <w:p>
            <w:pPr>
              <w:pStyle w:val="TableContents"/>
              <w:bidi w:val="0"/>
              <w:spacing w:before="0" w:after="283"/>
              <w:jc w:val="start"/>
              <w:rPr/>
            </w:pPr>
            <w:r>
              <w:rPr/>
              <w:t>Tablero de seguimiento de brechas (abierta → en curso → cerrada)</w:t>
            </w:r>
          </w:p>
        </w:tc>
        <w:tc>
          <w:tcPr>
            <w:tcW w:w="2342" w:type="dxa"/>
            <w:tcBorders/>
            <w:vAlign w:val="center"/>
          </w:tcPr>
          <w:p>
            <w:pPr>
              <w:pStyle w:val="TableContents"/>
              <w:bidi w:val="0"/>
              <w:spacing w:before="0" w:after="283"/>
              <w:jc w:val="start"/>
              <w:rPr/>
            </w:pPr>
            <w:r>
              <w:rPr/>
              <w:t>DATIC, Secretaría de Gestión del Riesgo</w:t>
            </w:r>
          </w:p>
        </w:tc>
      </w:tr>
    </w:tbl>
    <w:p>
      <w:pPr>
        <w:pStyle w:val="Heading3"/>
        <w:bidi w:val="0"/>
        <w:jc w:val="start"/>
        <w:rPr/>
      </w:pPr>
      <w:r>
        <w:rPr/>
        <w:t>DESPUÉS (recuperación y retorno)</w:t>
      </w:r>
    </w:p>
    <w:tbl>
      <w:tblPr>
        <w:tblW w:w="5464" w:type="dxa"/>
        <w:jc w:val="start"/>
        <w:tblInd w:w="0" w:type="dxa"/>
        <w:tblLayout w:type="fixed"/>
        <w:tblCellMar>
          <w:top w:w="28" w:type="dxa"/>
          <w:start w:w="28" w:type="dxa"/>
          <w:bottom w:w="28" w:type="dxa"/>
          <w:end w:w="28" w:type="dxa"/>
        </w:tblCellMar>
      </w:tblPr>
      <w:tblGrid>
        <w:gridCol w:w="2920"/>
        <w:gridCol w:w="2544"/>
      </w:tblGrid>
      <w:tr>
        <w:trPr/>
        <w:tc>
          <w:tcPr>
            <w:tcW w:w="2920" w:type="dxa"/>
            <w:tcBorders/>
            <w:vAlign w:val="center"/>
          </w:tcPr>
          <w:p>
            <w:pPr>
              <w:pStyle w:val="TableHeading"/>
              <w:suppressLineNumbers/>
              <w:shd w:fill="0B4F6C" w:val="clear"/>
              <w:bidi w:val="0"/>
              <w:spacing w:before="0" w:after="283"/>
              <w:jc w:val="start"/>
              <w:rPr/>
            </w:pPr>
            <w:r>
              <w:rPr/>
              <w:t>Mecanismo</w:t>
            </w:r>
          </w:p>
        </w:tc>
        <w:tc>
          <w:tcPr>
            <w:tcW w:w="2544" w:type="dxa"/>
            <w:tcBorders/>
            <w:vAlign w:val="center"/>
          </w:tcPr>
          <w:p>
            <w:pPr>
              <w:pStyle w:val="TableHeading"/>
              <w:suppressLineNumbers/>
              <w:shd w:fill="0B4F6C" w:val="clear"/>
              <w:bidi w:val="0"/>
              <w:spacing w:before="0" w:after="283"/>
              <w:jc w:val="start"/>
              <w:rPr/>
            </w:pPr>
            <w:r>
              <w:rPr/>
              <w:t>Organismo responsable</w:t>
            </w:r>
          </w:p>
        </w:tc>
      </w:tr>
      <w:tr>
        <w:trPr/>
        <w:tc>
          <w:tcPr>
            <w:tcW w:w="2920" w:type="dxa"/>
            <w:tcBorders/>
            <w:vAlign w:val="center"/>
          </w:tcPr>
          <w:p>
            <w:pPr>
              <w:pStyle w:val="TableContents"/>
              <w:bidi w:val="0"/>
              <w:spacing w:before="0" w:after="283"/>
              <w:jc w:val="start"/>
              <w:rPr/>
            </w:pPr>
            <w:r>
              <w:rPr/>
              <w:t>Checklist de retorno: salida de la población → limpieza → inspección → reparación → acta de entrega</w:t>
            </w:r>
          </w:p>
        </w:tc>
        <w:tc>
          <w:tcPr>
            <w:tcW w:w="2544" w:type="dxa"/>
            <w:tcBorders/>
            <w:vAlign w:val="center"/>
          </w:tcPr>
          <w:p>
            <w:pPr>
              <w:pStyle w:val="TableContents"/>
              <w:bidi w:val="0"/>
              <w:spacing w:before="0" w:after="283"/>
              <w:jc w:val="start"/>
              <w:rPr/>
            </w:pPr>
            <w:r>
              <w:rPr/>
              <w:t>Secretaría de Infraestructura, Secretaría del Deporte, Bienes y Servicios</w:t>
            </w:r>
          </w:p>
        </w:tc>
      </w:tr>
      <w:tr>
        <w:trPr/>
        <w:tc>
          <w:tcPr>
            <w:tcW w:w="2920" w:type="dxa"/>
            <w:tcBorders/>
            <w:vAlign w:val="center"/>
          </w:tcPr>
          <w:p>
            <w:pPr>
              <w:pStyle w:val="TableContents"/>
              <w:bidi w:val="0"/>
              <w:spacing w:before="0" w:after="283"/>
              <w:jc w:val="start"/>
              <w:rPr/>
            </w:pPr>
            <w:r>
              <w:rPr/>
              <w:t>Lecciones aprendidas y actualización de la ficha del espacio</w:t>
            </w:r>
          </w:p>
        </w:tc>
        <w:tc>
          <w:tcPr>
            <w:tcW w:w="2544" w:type="dxa"/>
            <w:tcBorders/>
            <w:vAlign w:val="center"/>
          </w:tcPr>
          <w:p>
            <w:pPr>
              <w:pStyle w:val="TableContents"/>
              <w:bidi w:val="0"/>
              <w:spacing w:before="0" w:after="283"/>
              <w:jc w:val="start"/>
              <w:rPr/>
            </w:pPr>
            <w:r>
              <w:rPr/>
              <w:t>Secretaría de Gestión del Riesgo</w:t>
            </w:r>
          </w:p>
        </w:tc>
      </w:tr>
    </w:tbl>
    <w:p>
      <w:pPr>
        <w:pStyle w:val="Heading3"/>
        <w:bidi w:val="0"/>
        <w:jc w:val="start"/>
        <w:rPr/>
      </w:pPr>
      <w:r>
        <w:rPr/>
        <w:t>Demo para el sábado (60 s)</w:t>
      </w:r>
    </w:p>
    <w:p>
      <w:pPr>
        <w:pStyle w:val="BodyText"/>
        <w:bidi w:val="0"/>
        <w:jc w:val="start"/>
        <w:rPr/>
      </w:pPr>
      <w:r>
        <w:rPr/>
        <w:t>"Alerta naranja, río Cauca a 9,25 m. Hay 300 personas de Calimio Norte que necesitan reubicarse." El sistema descarta los espacios del oriente que están en zona inundable, propone 3 alternativas con sus brechas y dice quién responde por cada una. Luego se cambia el escenario a "sismo" y la recomendación cambia. Así se cubren los indicadores de la ficha.</w:t>
      </w:r>
    </w:p>
    <w:p>
      <w:pPr>
        <w:pStyle w:val="BodyText"/>
        <w:bidi w:val="0"/>
        <w:jc w:val="start"/>
        <w:rPr/>
      </w:pPr>
      <w:r>
        <w:rPr>
          <w:b/>
        </w:rPr>
        <w:t>Herramientas:</w:t>
      </w:r>
      <w:r>
        <w:rPr/>
        <w:t xml:space="preserve"> Google Sheets como base de datos, Glide o Softr para la app, Looker Studio para el mapa y el tablero. </w:t>
      </w:r>
      <w:r>
        <w:rPr>
          <w:b/>
        </w:rPr>
        <w:t>Datos reales</w:t>
      </w:r>
      <w:r>
        <w:rPr/>
        <w:t xml:space="preserve"> (decisión del 25 de septiembre; ver la sección 6.2 y </w:t>
      </w:r>
      <w:r>
        <w:rPr>
          <w:rStyle w:val="SourceText"/>
        </w:rPr>
        <w:t>docs/DATASETS.md</w:t>
      </w:r>
      <w:r>
        <w:rPr/>
        <w:t>). Solo el IoT y la ocupación de la demo son simulados, y así se marcan.</w:t>
      </w:r>
    </w:p>
    <w:p>
      <w:pPr>
        <w:pStyle w:val="Heading3"/>
        <w:bidi w:val="0"/>
        <w:jc w:val="start"/>
        <w:rPr/>
      </w:pPr>
      <w:r>
        <w:rPr/>
        <w:t>Filtro legal de la propuesta</w:t>
      </w:r>
    </w:p>
    <w:p>
      <w:pPr>
        <w:pStyle w:val="BodyText"/>
        <w:numPr>
          <w:ilvl w:val="0"/>
          <w:numId w:val="10"/>
        </w:numPr>
        <w:tabs>
          <w:tab w:val="clear" w:pos="1134"/>
          <w:tab w:val="left" w:pos="709" w:leader="none"/>
        </w:tabs>
        <w:bidi w:val="0"/>
        <w:spacing w:before="0" w:after="0"/>
        <w:ind w:hanging="283" w:start="709"/>
        <w:jc w:val="start"/>
        <w:rPr/>
      </w:pPr>
      <w:r>
        <w:rPr/>
        <w:t xml:space="preserve">Es una recomendación; la decisión la toma la autoridad (Ley 1523). </w:t>
      </w:r>
    </w:p>
    <w:p>
      <w:pPr>
        <w:pStyle w:val="BodyText"/>
        <w:numPr>
          <w:ilvl w:val="0"/>
          <w:numId w:val="10"/>
        </w:numPr>
        <w:tabs>
          <w:tab w:val="clear" w:pos="1134"/>
          <w:tab w:val="left" w:pos="709" w:leader="none"/>
        </w:tabs>
        <w:bidi w:val="0"/>
        <w:spacing w:before="0" w:after="0"/>
        <w:ind w:hanging="283" w:start="709"/>
        <w:jc w:val="start"/>
        <w:rPr/>
      </w:pPr>
      <w:r>
        <w:rPr/>
        <w:t xml:space="preserve">No reemplaza evaluaciones estructurales (NSR-10). </w:t>
      </w:r>
    </w:p>
    <w:p>
      <w:pPr>
        <w:pStyle w:val="BodyText"/>
        <w:numPr>
          <w:ilvl w:val="0"/>
          <w:numId w:val="10"/>
        </w:numPr>
        <w:tabs>
          <w:tab w:val="clear" w:pos="1134"/>
          <w:tab w:val="left" w:pos="709" w:leader="none"/>
        </w:tabs>
        <w:bidi w:val="0"/>
        <w:spacing w:before="0" w:after="0"/>
        <w:ind w:hanging="283" w:start="709"/>
        <w:jc w:val="start"/>
        <w:rPr/>
      </w:pPr>
      <w:r>
        <w:rPr/>
        <w:t xml:space="preserve">No emite conceptos de bomberos (Ley 1575). </w:t>
      </w:r>
    </w:p>
    <w:p>
      <w:pPr>
        <w:pStyle w:val="BodyText"/>
        <w:numPr>
          <w:ilvl w:val="0"/>
          <w:numId w:val="10"/>
        </w:numPr>
        <w:tabs>
          <w:tab w:val="clear" w:pos="1134"/>
          <w:tab w:val="left" w:pos="709" w:leader="none"/>
        </w:tabs>
        <w:bidi w:val="0"/>
        <w:spacing w:before="0" w:after="0"/>
        <w:ind w:hanging="283" w:start="709"/>
        <w:jc w:val="start"/>
        <w:rPr/>
      </w:pPr>
      <w:r>
        <w:rPr/>
        <w:t xml:space="preserve">Solo conteos agregados, sin datos de menores (Ley 1581 y Ley 1098). </w:t>
      </w:r>
    </w:p>
    <w:p>
      <w:pPr>
        <w:pStyle w:val="BodyText"/>
        <w:numPr>
          <w:ilvl w:val="0"/>
          <w:numId w:val="10"/>
        </w:numPr>
        <w:tabs>
          <w:tab w:val="clear" w:pos="1134"/>
          <w:tab w:val="left" w:pos="709" w:leader="none"/>
        </w:tabs>
        <w:bidi w:val="0"/>
        <w:spacing w:before="0" w:after="0"/>
        <w:ind w:hanging="283" w:start="709"/>
        <w:jc w:val="start"/>
        <w:rPr/>
      </w:pPr>
      <w:r>
        <w:rPr/>
        <w:t xml:space="preserve">Reglas visibles y explicables. </w:t>
      </w:r>
    </w:p>
    <w:p>
      <w:pPr>
        <w:pStyle w:val="BodyText"/>
        <w:numPr>
          <w:ilvl w:val="0"/>
          <w:numId w:val="10"/>
        </w:numPr>
        <w:tabs>
          <w:tab w:val="clear" w:pos="1134"/>
          <w:tab w:val="left" w:pos="709" w:leader="none"/>
        </w:tabs>
        <w:bidi w:val="0"/>
        <w:ind w:hanging="283" w:start="709"/>
        <w:jc w:val="start"/>
        <w:rPr/>
      </w:pPr>
      <w:r>
        <w:rPr/>
        <w:t xml:space="preserve">Sin reconocimiento facial. </w:t>
      </w:r>
    </w:p>
    <w:p>
      <w:pPr>
        <w:pStyle w:val="Heading2"/>
        <w:bidi w:val="0"/>
        <w:jc w:val="start"/>
        <w:rPr/>
      </w:pPr>
      <w:r>
        <w:rPr/>
        <w:t>6.1 Integración de las ideas del equipo (25 de septiembre)</w:t>
      </w:r>
    </w:p>
    <w:p>
      <w:pPr>
        <w:pStyle w:val="Heading3"/>
        <w:bidi w:val="0"/>
        <w:jc w:val="start"/>
        <w:rPr/>
      </w:pPr>
      <w:r>
        <w:rPr/>
        <w:t>Las 4 piezas</w:t>
      </w:r>
    </w:p>
    <w:tbl>
      <w:tblPr>
        <w:tblW w:w="5464" w:type="dxa"/>
        <w:jc w:val="start"/>
        <w:tblInd w:w="0" w:type="dxa"/>
        <w:tblLayout w:type="fixed"/>
        <w:tblCellMar>
          <w:top w:w="28" w:type="dxa"/>
          <w:start w:w="28" w:type="dxa"/>
          <w:bottom w:w="28" w:type="dxa"/>
          <w:end w:w="28" w:type="dxa"/>
        </w:tblCellMar>
      </w:tblPr>
      <w:tblGrid>
        <w:gridCol w:w="1426"/>
        <w:gridCol w:w="961"/>
        <w:gridCol w:w="1516"/>
        <w:gridCol w:w="1561"/>
      </w:tblGrid>
      <w:tr>
        <w:trPr/>
        <w:tc>
          <w:tcPr>
            <w:tcW w:w="1426" w:type="dxa"/>
            <w:tcBorders/>
            <w:vAlign w:val="center"/>
          </w:tcPr>
          <w:p>
            <w:pPr>
              <w:pStyle w:val="TableHeading"/>
              <w:suppressLineNumbers/>
              <w:shd w:fill="0B4F6C" w:val="clear"/>
              <w:bidi w:val="0"/>
              <w:spacing w:before="0" w:after="283"/>
              <w:jc w:val="start"/>
              <w:rPr/>
            </w:pPr>
            <w:r>
              <w:rPr/>
              <w:t>Pieza</w:t>
            </w:r>
          </w:p>
        </w:tc>
        <w:tc>
          <w:tcPr>
            <w:tcW w:w="961" w:type="dxa"/>
            <w:tcBorders/>
            <w:vAlign w:val="center"/>
          </w:tcPr>
          <w:p>
            <w:pPr>
              <w:pStyle w:val="TableHeading"/>
              <w:suppressLineNumbers/>
              <w:shd w:fill="0B4F6C" w:val="clear"/>
              <w:bidi w:val="0"/>
              <w:spacing w:before="0" w:after="283"/>
              <w:jc w:val="start"/>
              <w:rPr/>
            </w:pPr>
            <w:r>
              <w:rPr/>
              <w:t>Quién</w:t>
            </w:r>
          </w:p>
        </w:tc>
        <w:tc>
          <w:tcPr>
            <w:tcW w:w="1516" w:type="dxa"/>
            <w:tcBorders/>
            <w:vAlign w:val="center"/>
          </w:tcPr>
          <w:p>
            <w:pPr>
              <w:pStyle w:val="TableHeading"/>
              <w:suppressLineNumbers/>
              <w:shd w:fill="0B4F6C" w:val="clear"/>
              <w:bidi w:val="0"/>
              <w:spacing w:before="0" w:after="283"/>
              <w:jc w:val="start"/>
              <w:rPr/>
            </w:pPr>
            <w:r>
              <w:rPr/>
              <w:t>Qué aporta</w:t>
            </w:r>
          </w:p>
        </w:tc>
        <w:tc>
          <w:tcPr>
            <w:tcW w:w="1561" w:type="dxa"/>
            <w:tcBorders/>
            <w:vAlign w:val="center"/>
          </w:tcPr>
          <w:p>
            <w:pPr>
              <w:pStyle w:val="TableHeading"/>
              <w:suppressLineNumbers/>
              <w:shd w:fill="0B4F6C" w:val="clear"/>
              <w:bidi w:val="0"/>
              <w:spacing w:before="0" w:after="283"/>
              <w:jc w:val="start"/>
              <w:rPr/>
            </w:pPr>
            <w:r>
              <w:rPr/>
              <w:t>Qué hay que ajustar</w:t>
            </w:r>
          </w:p>
        </w:tc>
      </w:tr>
      <w:tr>
        <w:trPr/>
        <w:tc>
          <w:tcPr>
            <w:tcW w:w="1426" w:type="dxa"/>
            <w:tcBorders/>
            <w:vAlign w:val="center"/>
          </w:tcPr>
          <w:p>
            <w:pPr>
              <w:pStyle w:val="TableContents"/>
              <w:bidi w:val="0"/>
              <w:spacing w:before="0" w:after="283"/>
              <w:jc w:val="start"/>
              <w:rPr>
                <w:b/>
              </w:rPr>
            </w:pPr>
            <w:r>
              <w:rPr>
                <w:b/>
              </w:rPr>
              <w:t>Cali Activa multiamenaza</w:t>
            </w:r>
          </w:p>
        </w:tc>
        <w:tc>
          <w:tcPr>
            <w:tcW w:w="961" w:type="dxa"/>
            <w:tcBorders/>
            <w:vAlign w:val="center"/>
          </w:tcPr>
          <w:p>
            <w:pPr>
              <w:pStyle w:val="TableContents"/>
              <w:bidi w:val="0"/>
              <w:spacing w:before="0" w:after="283"/>
              <w:jc w:val="start"/>
              <w:rPr/>
            </w:pPr>
            <w:r>
              <w:rPr/>
              <w:t>Bitácora del equipo</w:t>
            </w:r>
          </w:p>
        </w:tc>
        <w:tc>
          <w:tcPr>
            <w:tcW w:w="1516" w:type="dxa"/>
            <w:tcBorders/>
            <w:vAlign w:val="center"/>
          </w:tcPr>
          <w:p>
            <w:pPr>
              <w:pStyle w:val="TableContents"/>
              <w:bidi w:val="0"/>
              <w:spacing w:before="0" w:after="283"/>
              <w:jc w:val="start"/>
              <w:rPr/>
            </w:pPr>
            <w:r>
              <w:rPr/>
              <w:t>La aptitud de un espacio depende de la amenaza; matriz de quién responde; albergues autogestionados; retorno</w:t>
            </w:r>
          </w:p>
        </w:tc>
        <w:tc>
          <w:tcPr>
            <w:tcW w:w="1561" w:type="dxa"/>
            <w:tcBorders/>
            <w:vAlign w:val="center"/>
          </w:tcPr>
          <w:p>
            <w:pPr>
              <w:pStyle w:val="TableContents"/>
              <w:bidi w:val="0"/>
              <w:spacing w:before="0" w:after="283"/>
              <w:jc w:val="start"/>
              <w:rPr/>
            </w:pPr>
            <w:r>
              <w:rPr/>
              <w:t>Nada: es la columna vertebral</w:t>
            </w:r>
          </w:p>
        </w:tc>
      </w:tr>
      <w:tr>
        <w:trPr/>
        <w:tc>
          <w:tcPr>
            <w:tcW w:w="1426" w:type="dxa"/>
            <w:tcBorders/>
            <w:vAlign w:val="center"/>
          </w:tcPr>
          <w:p>
            <w:pPr>
              <w:pStyle w:val="TableContents"/>
              <w:bidi w:val="0"/>
              <w:spacing w:before="0" w:after="283"/>
              <w:jc w:val="start"/>
              <w:rPr/>
            </w:pPr>
            <w:r>
              <w:rPr>
                <w:b/>
              </w:rPr>
              <w:t>Cali Lista</w:t>
            </w:r>
            <w:r>
              <w:rPr/>
              <w:t xml:space="preserve"> (</w:t>
            </w:r>
            <w:r>
              <w:rPr>
                <w:rStyle w:val="SourceText"/>
              </w:rPr>
              <w:t>docs/cali_lista_contexto.md</w:t>
            </w:r>
            <w:r>
              <w:rPr/>
              <w:t xml:space="preserve"> y </w:t>
            </w:r>
            <w:r>
              <w:rPr>
                <w:rStyle w:val="SourceText"/>
              </w:rPr>
              <w:t>docs/cali_lista.pdf</w:t>
            </w:r>
            <w:r>
              <w:rPr/>
              <w:t>)</w:t>
            </w:r>
          </w:p>
        </w:tc>
        <w:tc>
          <w:tcPr>
            <w:tcW w:w="961" w:type="dxa"/>
            <w:tcBorders/>
            <w:vAlign w:val="center"/>
          </w:tcPr>
          <w:p>
            <w:pPr>
              <w:pStyle w:val="TableContents"/>
              <w:bidi w:val="0"/>
              <w:spacing w:before="0" w:after="283"/>
              <w:jc w:val="start"/>
              <w:rPr/>
            </w:pPr>
            <w:r>
              <w:rPr/>
              <w:t>Pablo (fork)</w:t>
            </w:r>
          </w:p>
        </w:tc>
        <w:tc>
          <w:tcPr>
            <w:tcW w:w="1516" w:type="dxa"/>
            <w:tcBorders/>
            <w:vAlign w:val="center"/>
          </w:tcPr>
          <w:p>
            <w:pPr>
              <w:pStyle w:val="TableContents"/>
              <w:bidi w:val="0"/>
              <w:spacing w:before="0" w:after="283"/>
              <w:jc w:val="start"/>
              <w:rPr/>
            </w:pPr>
            <w:r>
              <w:rPr/>
              <w:t xml:space="preserve">Formulario de caracterización con 6 categorías; clasificación por </w:t>
            </w:r>
            <w:r>
              <w:rPr>
                <w:b/>
              </w:rPr>
              <w:t>funciones</w:t>
            </w:r>
            <w:r>
              <w:rPr/>
              <w:t xml:space="preserve"> (albergue, acopio, punto de salud, conectividad); </w:t>
            </w:r>
            <w:r>
              <w:rPr>
                <w:b/>
              </w:rPr>
              <w:t>adecuaciones mínimas permanentes</w:t>
            </w:r>
            <w:r>
              <w:rPr/>
              <w:t xml:space="preserve"> (por ejemplo, un punto fijo de agua) que sirven en la vida cotidiana y en la emergencia; ciclo que se retroalimenta</w:t>
            </w:r>
          </w:p>
        </w:tc>
        <w:tc>
          <w:tcPr>
            <w:tcW w:w="1561" w:type="dxa"/>
            <w:tcBorders/>
            <w:vAlign w:val="center"/>
          </w:tcPr>
          <w:p>
            <w:pPr>
              <w:pStyle w:val="TableContents"/>
              <w:bidi w:val="0"/>
              <w:spacing w:before="0" w:after="283"/>
              <w:jc w:val="start"/>
              <w:rPr/>
            </w:pPr>
            <w:r>
              <w:rPr/>
              <w:t xml:space="preserve">1. Cambiar la palabra </w:t>
            </w:r>
            <w:r>
              <w:rPr>
                <w:b/>
              </w:rPr>
              <w:t>"peritaje"</w:t>
            </w:r>
            <w:r>
              <w:rPr/>
              <w:t xml:space="preserve"> por "caracterización" o "verificación de aptitud": un peritaje suena a dictamen técnico, y eso cruza la línea roja de la NSR-10. 2. Cruzar las funciones con la amenaza. 3. El "tiempo real" se muestra con datos simulados o IoT</w:t>
            </w:r>
          </w:p>
        </w:tc>
      </w:tr>
      <w:tr>
        <w:trPr/>
        <w:tc>
          <w:tcPr>
            <w:tcW w:w="1426" w:type="dxa"/>
            <w:tcBorders/>
            <w:vAlign w:val="center"/>
          </w:tcPr>
          <w:p>
            <w:pPr>
              <w:pStyle w:val="TableContents"/>
              <w:bidi w:val="0"/>
              <w:spacing w:before="0" w:after="283"/>
              <w:jc w:val="start"/>
              <w:rPr>
                <w:b/>
              </w:rPr>
            </w:pPr>
            <w:r>
              <w:rPr>
                <w:b/>
              </w:rPr>
              <w:t>Refugios modulares de PVC + IoT</w:t>
            </w:r>
          </w:p>
        </w:tc>
        <w:tc>
          <w:tcPr>
            <w:tcW w:w="961" w:type="dxa"/>
            <w:tcBorders/>
            <w:vAlign w:val="center"/>
          </w:tcPr>
          <w:p>
            <w:pPr>
              <w:pStyle w:val="TableContents"/>
              <w:bidi w:val="0"/>
              <w:spacing w:before="0" w:after="283"/>
              <w:jc w:val="start"/>
              <w:rPr/>
            </w:pPr>
            <w:r>
              <w:rPr/>
              <w:t>Integrante del equipo (aún no ha subido material)</w:t>
            </w:r>
          </w:p>
        </w:tc>
        <w:tc>
          <w:tcPr>
            <w:tcW w:w="1516" w:type="dxa"/>
            <w:tcBorders/>
            <w:vAlign w:val="center"/>
          </w:tcPr>
          <w:p>
            <w:pPr>
              <w:pStyle w:val="TableContents"/>
              <w:bidi w:val="0"/>
              <w:spacing w:before="0" w:after="283"/>
              <w:jc w:val="start"/>
              <w:rPr/>
            </w:pPr>
            <w:r>
              <w:rPr/>
              <w:t xml:space="preserve">Cierran rápido las brechas físicas (cubierta, divisiones); se </w:t>
            </w:r>
            <w:r>
              <w:rPr>
                <w:b/>
              </w:rPr>
              <w:t>reutilizan</w:t>
            </w:r>
            <w:r>
              <w:rPr/>
              <w:t xml:space="preserve"> en eventos, así que están en uso, mantenidos y probados; los sensores alimentan el tablero</w:t>
            </w:r>
          </w:p>
        </w:tc>
        <w:tc>
          <w:tcPr>
            <w:tcW w:w="1561" w:type="dxa"/>
            <w:tcBorders/>
            <w:vAlign w:val="center"/>
          </w:tcPr>
          <w:p>
            <w:pPr>
              <w:pStyle w:val="TableContents"/>
              <w:bidi w:val="0"/>
              <w:spacing w:before="0" w:after="283"/>
              <w:jc w:val="start"/>
              <w:rPr/>
            </w:pPr>
            <w:r>
              <w:rPr/>
              <w:t>Filtro legal fuerte: fuego, estructura, espectro y datos (ver abajo). En el prototipo va como maqueta o ficha técnica, con datos de sensores simulados</w:t>
            </w:r>
          </w:p>
        </w:tc>
      </w:tr>
      <w:tr>
        <w:trPr/>
        <w:tc>
          <w:tcPr>
            <w:tcW w:w="1426" w:type="dxa"/>
            <w:tcBorders/>
            <w:vAlign w:val="center"/>
          </w:tcPr>
          <w:p>
            <w:pPr>
              <w:pStyle w:val="TableContents"/>
              <w:bidi w:val="0"/>
              <w:spacing w:before="0" w:after="283"/>
              <w:jc w:val="start"/>
              <w:rPr>
                <w:b/>
              </w:rPr>
            </w:pPr>
            <w:r>
              <w:rPr>
                <w:b/>
              </w:rPr>
              <w:t>Marco legal</w:t>
            </w:r>
          </w:p>
        </w:tc>
        <w:tc>
          <w:tcPr>
            <w:tcW w:w="961" w:type="dxa"/>
            <w:tcBorders/>
            <w:vAlign w:val="center"/>
          </w:tcPr>
          <w:p>
            <w:pPr>
              <w:pStyle w:val="TableContents"/>
              <w:bidi w:val="0"/>
              <w:spacing w:before="0" w:after="283"/>
              <w:jc w:val="start"/>
              <w:rPr/>
            </w:pPr>
            <w:r>
              <w:rPr/>
              <w:t>Tú</w:t>
            </w:r>
          </w:p>
        </w:tc>
        <w:tc>
          <w:tcPr>
            <w:tcW w:w="1516" w:type="dxa"/>
            <w:tcBorders/>
            <w:vAlign w:val="center"/>
          </w:tcPr>
          <w:p>
            <w:pPr>
              <w:pStyle w:val="TableContents"/>
              <w:bidi w:val="0"/>
              <w:spacing w:before="0" w:after="283"/>
              <w:jc w:val="start"/>
              <w:rPr/>
            </w:pPr>
            <w:r>
              <w:rPr/>
              <w:t>Filtro transversal de todas las piezas</w:t>
            </w:r>
          </w:p>
        </w:tc>
        <w:tc>
          <w:tcPr>
            <w:tcW w:w="1561" w:type="dxa"/>
            <w:tcBorders/>
            <w:vAlign w:val="center"/>
          </w:tcPr>
          <w:p>
            <w:pPr>
              <w:pStyle w:val="TableContents"/>
              <w:bidi w:val="0"/>
              <w:spacing w:before="0" w:after="283"/>
              <w:jc w:val="start"/>
              <w:rPr/>
            </w:pPr>
            <w:r>
              <w:rPr/>
              <w:t>—</w:t>
            </w:r>
          </w:p>
        </w:tc>
      </w:tr>
    </w:tbl>
    <w:p>
      <w:pPr>
        <w:pStyle w:val="Heading3"/>
        <w:bidi w:val="0"/>
        <w:jc w:val="start"/>
        <w:rPr/>
      </w:pPr>
      <w:r>
        <w:rPr/>
        <w:t>Propuesta integrada en 3 capas</w:t>
      </w:r>
    </w:p>
    <w:p>
      <w:pPr>
        <w:pStyle w:val="BodyText"/>
        <w:numPr>
          <w:ilvl w:val="0"/>
          <w:numId w:val="11"/>
        </w:numPr>
        <w:tabs>
          <w:tab w:val="clear" w:pos="1134"/>
          <w:tab w:val="left" w:pos="709" w:leader="none"/>
        </w:tabs>
        <w:bidi w:val="0"/>
        <w:ind w:hanging="283" w:start="709"/>
        <w:jc w:val="start"/>
        <w:rPr/>
      </w:pPr>
      <w:r>
        <w:rPr>
          <w:b/>
        </w:rPr>
        <w:t>Capa de decisión (el software que se prototipa el sábado).</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t xml:space="preserve">La ficha del espacio usa las variables de Cali Lista más una columna de aptitud por amenaza (sismo, inundación y sequía). </w:t>
      </w:r>
    </w:p>
    <w:p>
      <w:pPr>
        <w:pStyle w:val="BodyText"/>
        <w:numPr>
          <w:ilvl w:val="0"/>
          <w:numId w:val="12"/>
        </w:numPr>
        <w:tabs>
          <w:tab w:val="clear" w:pos="1134"/>
          <w:tab w:val="left" w:pos="709" w:leader="none"/>
        </w:tabs>
        <w:bidi w:val="0"/>
        <w:spacing w:before="0" w:after="0"/>
        <w:ind w:hanging="283" w:start="709"/>
        <w:jc w:val="start"/>
        <w:rPr/>
      </w:pPr>
      <w:r>
        <w:rPr/>
        <w:t xml:space="preserve">Catálogo único de funciones: albergue, centro de acopio, punto de apoyo a salud (no reemplaza a la Secretaría de Salud), punto de agua, punto de información y conectividad, y zona de amortiguación (sin uso humano). </w:t>
      </w:r>
    </w:p>
    <w:p>
      <w:pPr>
        <w:pStyle w:val="BodyText"/>
        <w:numPr>
          <w:ilvl w:val="0"/>
          <w:numId w:val="12"/>
        </w:numPr>
        <w:tabs>
          <w:tab w:val="clear" w:pos="1134"/>
          <w:tab w:val="left" w:pos="709" w:leader="none"/>
        </w:tabs>
        <w:bidi w:val="0"/>
        <w:ind w:hanging="283" w:start="709"/>
        <w:jc w:val="start"/>
        <w:rPr/>
      </w:pPr>
      <w:r>
        <w:rPr/>
        <w:t xml:space="preserve">Regla explicable: </w:t>
      </w:r>
      <w:r>
        <w:rPr>
          <w:b/>
        </w:rPr>
        <w:t>aptitud = f(espacio, amenaza, función)</w:t>
      </w:r>
      <w:r>
        <w:rPr/>
        <w:t xml:space="preserve"> → los 3 mejores espacios → brechas según Esfera → entidad responsable → seguimiento → retorno. </w:t>
      </w:r>
    </w:p>
    <w:p>
      <w:pPr>
        <w:pStyle w:val="BodyText"/>
        <w:numPr>
          <w:ilvl w:val="0"/>
          <w:numId w:val="13"/>
        </w:numPr>
        <w:tabs>
          <w:tab w:val="clear" w:pos="1134"/>
          <w:tab w:val="left" w:pos="709" w:leader="none"/>
        </w:tabs>
        <w:bidi w:val="0"/>
        <w:spacing w:before="0" w:after="0"/>
        <w:ind w:hanging="283" w:start="709"/>
        <w:jc w:val="start"/>
        <w:rPr/>
      </w:pPr>
      <w:r>
        <w:rPr>
          <w:b/>
        </w:rPr>
        <w:t>Capa de adecuaciones permanentes.</w:t>
      </w:r>
      <w:r>
        <w:rPr/>
        <w:t xml:space="preserve"> Es una recomendación de salida del sistema, no una obra en el hackathon: toma de agua, puntos para conectar baños, energía solar y anclajes para los módulos. Se priorizan los espacios con mayor probabilidad de uso. Tiene respaldo en los referentes de Tokio (parques de prevención) y Ciudad del Cabo (puntos de agua). </w:t>
      </w:r>
    </w:p>
    <w:p>
      <w:pPr>
        <w:pStyle w:val="BodyText"/>
        <w:numPr>
          <w:ilvl w:val="0"/>
          <w:numId w:val="13"/>
        </w:numPr>
        <w:tabs>
          <w:tab w:val="clear" w:pos="1134"/>
          <w:tab w:val="left" w:pos="709" w:leader="none"/>
        </w:tabs>
        <w:bidi w:val="0"/>
        <w:ind w:hanging="283" w:start="709"/>
        <w:jc w:val="start"/>
        <w:rPr/>
      </w:pPr>
      <w:r>
        <w:rPr>
          <w:b/>
        </w:rPr>
        <w:t>Capa del kit modular y el IoT.</w:t>
      </w:r>
      <w:r>
        <w:rPr/>
        <w:t xml:space="preserve"> </w:t>
      </w:r>
    </w:p>
    <w:p>
      <w:pPr>
        <w:pStyle w:val="BodyText"/>
        <w:numPr>
          <w:ilvl w:val="0"/>
          <w:numId w:val="14"/>
        </w:numPr>
        <w:tabs>
          <w:tab w:val="clear" w:pos="1134"/>
          <w:tab w:val="left" w:pos="709" w:leader="none"/>
        </w:tabs>
        <w:bidi w:val="0"/>
        <w:spacing w:before="0" w:after="0"/>
        <w:ind w:hanging="283" w:start="709"/>
        <w:jc w:val="start"/>
        <w:rPr/>
      </w:pPr>
      <w:r>
        <w:rPr/>
        <w:t xml:space="preserve">Módulos de PVC guardados en bodega. En tiempos normales se usan en eventos (CicloVida, ferias); en una emergencia cierran la brecha de "área cubierta". </w:t>
      </w:r>
    </w:p>
    <w:p>
      <w:pPr>
        <w:pStyle w:val="BodyText"/>
        <w:numPr>
          <w:ilvl w:val="0"/>
          <w:numId w:val="14"/>
        </w:numPr>
        <w:tabs>
          <w:tab w:val="clear" w:pos="1134"/>
          <w:tab w:val="left" w:pos="709" w:leader="none"/>
        </w:tabs>
        <w:bidi w:val="0"/>
        <w:spacing w:before="0" w:after="0"/>
        <w:ind w:hanging="283" w:start="709"/>
        <w:jc w:val="start"/>
        <w:rPr/>
      </w:pPr>
      <w:r>
        <w:rPr/>
        <w:t xml:space="preserve">Sensores </w:t>
      </w:r>
      <w:r>
        <w:rPr>
          <w:b/>
        </w:rPr>
        <w:t>sin cámaras</w:t>
      </w:r>
      <w:r>
        <w:rPr/>
        <w:t xml:space="preserve">: nivel del tanque de agua, conteo agregado de entradas y salidas, temperatura y humedad. </w:t>
      </w:r>
    </w:p>
    <w:p>
      <w:pPr>
        <w:pStyle w:val="BodyText"/>
        <w:numPr>
          <w:ilvl w:val="0"/>
          <w:numId w:val="14"/>
        </w:numPr>
        <w:tabs>
          <w:tab w:val="clear" w:pos="1134"/>
          <w:tab w:val="left" w:pos="709" w:leader="none"/>
        </w:tabs>
        <w:bidi w:val="0"/>
        <w:ind w:hanging="283" w:start="709"/>
        <w:jc w:val="start"/>
        <w:rPr/>
      </w:pPr>
      <w:r>
        <w:rPr/>
        <w:t xml:space="preserve">El nivel del río se toma de las fuentes oficiales (CVC o IDEAM); no lo mide un sensor propio. </w:t>
      </w:r>
    </w:p>
    <w:p>
      <w:pPr>
        <w:pStyle w:val="BodyText"/>
        <w:bidi w:val="0"/>
        <w:jc w:val="start"/>
        <w:rPr>
          <w:b/>
        </w:rPr>
      </w:pPr>
      <w:r>
        <w:rPr>
          <w:b/>
        </w:rPr>
        <w:t>Demo integrada:</w:t>
      </w:r>
    </w:p>
    <w:p>
      <w:pPr>
        <w:pStyle w:val="BodyText"/>
        <w:numPr>
          <w:ilvl w:val="0"/>
          <w:numId w:val="15"/>
        </w:numPr>
        <w:tabs>
          <w:tab w:val="clear" w:pos="1134"/>
          <w:tab w:val="left" w:pos="709" w:leader="none"/>
        </w:tabs>
        <w:bidi w:val="0"/>
        <w:spacing w:before="0" w:after="0"/>
        <w:ind w:hanging="283" w:start="709"/>
        <w:jc w:val="start"/>
        <w:rPr/>
      </w:pPr>
      <w:r>
        <w:rPr/>
        <w:t xml:space="preserve">Alerta naranja del Cauca. </w:t>
      </w:r>
    </w:p>
    <w:p>
      <w:pPr>
        <w:pStyle w:val="BodyText"/>
        <w:numPr>
          <w:ilvl w:val="0"/>
          <w:numId w:val="15"/>
        </w:numPr>
        <w:tabs>
          <w:tab w:val="clear" w:pos="1134"/>
          <w:tab w:val="left" w:pos="709" w:leader="none"/>
        </w:tabs>
        <w:bidi w:val="0"/>
        <w:spacing w:before="0" w:after="0"/>
        <w:ind w:hanging="283" w:start="709"/>
        <w:jc w:val="start"/>
        <w:rPr/>
      </w:pPr>
      <w:r>
        <w:rPr/>
        <w:t xml:space="preserve">El sistema recomienda 3 espacios. </w:t>
      </w:r>
    </w:p>
    <w:p>
      <w:pPr>
        <w:pStyle w:val="BodyText"/>
        <w:numPr>
          <w:ilvl w:val="0"/>
          <w:numId w:val="15"/>
        </w:numPr>
        <w:tabs>
          <w:tab w:val="clear" w:pos="1134"/>
          <w:tab w:val="left" w:pos="709" w:leader="none"/>
        </w:tabs>
        <w:bidi w:val="0"/>
        <w:spacing w:before="0" w:after="0"/>
        <w:ind w:hanging="283" w:start="709"/>
        <w:jc w:val="start"/>
        <w:rPr/>
      </w:pPr>
      <w:r>
        <w:rPr/>
        <w:t xml:space="preserve">Brecha de 9 baños → EMCALI y UAESP; brecha de 200 m² cubiertos → 2 kits de la bodega X. </w:t>
      </w:r>
    </w:p>
    <w:p>
      <w:pPr>
        <w:pStyle w:val="BodyText"/>
        <w:numPr>
          <w:ilvl w:val="0"/>
          <w:numId w:val="15"/>
        </w:numPr>
        <w:tabs>
          <w:tab w:val="clear" w:pos="1134"/>
          <w:tab w:val="left" w:pos="709" w:leader="none"/>
        </w:tabs>
        <w:bidi w:val="0"/>
        <w:spacing w:before="0" w:after="0"/>
        <w:ind w:hanging="283" w:start="709"/>
        <w:jc w:val="start"/>
        <w:rPr/>
      </w:pPr>
      <w:r>
        <w:rPr/>
        <w:t xml:space="preserve">El tablero muestra "tanque al 40 %" (dato SIMULADO). </w:t>
      </w:r>
    </w:p>
    <w:p>
      <w:pPr>
        <w:pStyle w:val="BodyText"/>
        <w:numPr>
          <w:ilvl w:val="0"/>
          <w:numId w:val="15"/>
        </w:numPr>
        <w:tabs>
          <w:tab w:val="clear" w:pos="1134"/>
          <w:tab w:val="left" w:pos="709" w:leader="none"/>
        </w:tabs>
        <w:bidi w:val="0"/>
        <w:spacing w:before="0" w:after="0"/>
        <w:ind w:hanging="283" w:start="709"/>
        <w:jc w:val="start"/>
        <w:rPr/>
      </w:pPr>
      <w:r>
        <w:rPr/>
        <w:t xml:space="preserve">Cambio a sismo: la recomendación cambia. </w:t>
      </w:r>
    </w:p>
    <w:p>
      <w:pPr>
        <w:pStyle w:val="BodyText"/>
        <w:numPr>
          <w:ilvl w:val="0"/>
          <w:numId w:val="15"/>
        </w:numPr>
        <w:tabs>
          <w:tab w:val="clear" w:pos="1134"/>
          <w:tab w:val="left" w:pos="709" w:leader="none"/>
        </w:tabs>
        <w:bidi w:val="0"/>
        <w:ind w:hanging="283" w:start="709"/>
        <w:jc w:val="start"/>
        <w:rPr/>
      </w:pPr>
      <w:r>
        <w:rPr/>
        <w:t xml:space="preserve">Retorno: los módulos vuelven a la bodega y se firma el acta. </w:t>
      </w:r>
    </w:p>
    <w:p>
      <w:pPr>
        <w:pStyle w:val="Heading3"/>
        <w:bidi w:val="0"/>
        <w:jc w:val="start"/>
        <w:rPr/>
      </w:pPr>
      <w:r>
        <w:rPr/>
        <w:t>Filtro legal por capa (a cargo de quien lleva el marco legal)</w:t>
      </w:r>
    </w:p>
    <w:tbl>
      <w:tblPr>
        <w:tblW w:w="5464" w:type="dxa"/>
        <w:jc w:val="start"/>
        <w:tblInd w:w="0" w:type="dxa"/>
        <w:tblLayout w:type="fixed"/>
        <w:tblCellMar>
          <w:top w:w="28" w:type="dxa"/>
          <w:start w:w="28" w:type="dxa"/>
          <w:bottom w:w="28" w:type="dxa"/>
          <w:end w:w="28" w:type="dxa"/>
        </w:tblCellMar>
      </w:tblPr>
      <w:tblGrid>
        <w:gridCol w:w="1261"/>
        <w:gridCol w:w="1178"/>
        <w:gridCol w:w="1662"/>
        <w:gridCol w:w="1363"/>
      </w:tblGrid>
      <w:tr>
        <w:trPr/>
        <w:tc>
          <w:tcPr>
            <w:tcW w:w="1261" w:type="dxa"/>
            <w:tcBorders/>
            <w:vAlign w:val="center"/>
          </w:tcPr>
          <w:p>
            <w:pPr>
              <w:pStyle w:val="TableHeading"/>
              <w:suppressLineNumbers/>
              <w:shd w:fill="0B4F6C" w:val="clear"/>
              <w:bidi w:val="0"/>
              <w:spacing w:before="0" w:after="283"/>
              <w:jc w:val="start"/>
              <w:rPr/>
            </w:pPr>
            <w:r>
              <w:rPr/>
              <w:t>Capa</w:t>
            </w:r>
          </w:p>
        </w:tc>
        <w:tc>
          <w:tcPr>
            <w:tcW w:w="1178" w:type="dxa"/>
            <w:tcBorders/>
            <w:vAlign w:val="center"/>
          </w:tcPr>
          <w:p>
            <w:pPr>
              <w:pStyle w:val="TableHeading"/>
              <w:suppressLineNumbers/>
              <w:shd w:fill="0B4F6C" w:val="clear"/>
              <w:bidi w:val="0"/>
              <w:spacing w:before="0" w:after="283"/>
              <w:jc w:val="start"/>
              <w:rPr/>
            </w:pPr>
            <w:r>
              <w:rPr/>
              <w:t>Riesgo</w:t>
            </w:r>
          </w:p>
        </w:tc>
        <w:tc>
          <w:tcPr>
            <w:tcW w:w="1662" w:type="dxa"/>
            <w:tcBorders/>
            <w:vAlign w:val="center"/>
          </w:tcPr>
          <w:p>
            <w:pPr>
              <w:pStyle w:val="TableHeading"/>
              <w:suppressLineNumbers/>
              <w:shd w:fill="0B4F6C" w:val="clear"/>
              <w:bidi w:val="0"/>
              <w:spacing w:before="0" w:after="283"/>
              <w:jc w:val="start"/>
              <w:rPr/>
            </w:pPr>
            <w:r>
              <w:rPr/>
              <w:t>Norma</w:t>
            </w:r>
          </w:p>
        </w:tc>
        <w:tc>
          <w:tcPr>
            <w:tcW w:w="1363" w:type="dxa"/>
            <w:tcBorders/>
            <w:vAlign w:val="center"/>
          </w:tcPr>
          <w:p>
            <w:pPr>
              <w:pStyle w:val="TableHeading"/>
              <w:suppressLineNumbers/>
              <w:shd w:fill="0B4F6C" w:val="clear"/>
              <w:bidi w:val="0"/>
              <w:spacing w:before="0" w:after="283"/>
              <w:jc w:val="start"/>
              <w:rPr/>
            </w:pPr>
            <w:r>
              <w:rPr/>
              <w:t>Cómo lo resolvemos</w:t>
            </w:r>
          </w:p>
        </w:tc>
      </w:tr>
      <w:tr>
        <w:trPr/>
        <w:tc>
          <w:tcPr>
            <w:tcW w:w="1261" w:type="dxa"/>
            <w:tcBorders/>
            <w:vAlign w:val="center"/>
          </w:tcPr>
          <w:p>
            <w:pPr>
              <w:pStyle w:val="TableContents"/>
              <w:bidi w:val="0"/>
              <w:spacing w:before="0" w:after="283"/>
              <w:jc w:val="start"/>
              <w:rPr/>
            </w:pPr>
            <w:r>
              <w:rPr/>
              <w:t>Decisión</w:t>
            </w:r>
          </w:p>
        </w:tc>
        <w:tc>
          <w:tcPr>
            <w:tcW w:w="1178" w:type="dxa"/>
            <w:tcBorders/>
            <w:vAlign w:val="center"/>
          </w:tcPr>
          <w:p>
            <w:pPr>
              <w:pStyle w:val="TableContents"/>
              <w:bidi w:val="0"/>
              <w:spacing w:before="0" w:after="283"/>
              <w:jc w:val="start"/>
              <w:rPr/>
            </w:pPr>
            <w:r>
              <w:rPr/>
              <w:t>Que la herramienta decida</w:t>
            </w:r>
          </w:p>
        </w:tc>
        <w:tc>
          <w:tcPr>
            <w:tcW w:w="1662" w:type="dxa"/>
            <w:tcBorders/>
            <w:vAlign w:val="center"/>
          </w:tcPr>
          <w:p>
            <w:pPr>
              <w:pStyle w:val="TableContents"/>
              <w:bidi w:val="0"/>
              <w:spacing w:before="0" w:after="283"/>
              <w:jc w:val="start"/>
              <w:rPr/>
            </w:pPr>
            <w:r>
              <w:rPr/>
              <w:t>Ley 1523 de 2012</w:t>
            </w:r>
          </w:p>
        </w:tc>
        <w:tc>
          <w:tcPr>
            <w:tcW w:w="1363" w:type="dxa"/>
            <w:tcBorders/>
            <w:vAlign w:val="center"/>
          </w:tcPr>
          <w:p>
            <w:pPr>
              <w:pStyle w:val="TableContents"/>
              <w:bidi w:val="0"/>
              <w:spacing w:before="0" w:after="283"/>
              <w:jc w:val="start"/>
              <w:rPr/>
            </w:pPr>
            <w:r>
              <w:rPr/>
              <w:t>Recomienda; decide la Secretaría o el Consejo Municipal</w:t>
            </w:r>
          </w:p>
        </w:tc>
      </w:tr>
      <w:tr>
        <w:trPr/>
        <w:tc>
          <w:tcPr>
            <w:tcW w:w="1261" w:type="dxa"/>
            <w:tcBorders/>
            <w:vAlign w:val="center"/>
          </w:tcPr>
          <w:p>
            <w:pPr>
              <w:pStyle w:val="TableContents"/>
              <w:bidi w:val="0"/>
              <w:spacing w:before="0" w:after="283"/>
              <w:jc w:val="start"/>
              <w:rPr/>
            </w:pPr>
            <w:r>
              <w:rPr/>
              <w:t>Decisión</w:t>
            </w:r>
          </w:p>
        </w:tc>
        <w:tc>
          <w:tcPr>
            <w:tcW w:w="1178" w:type="dxa"/>
            <w:tcBorders/>
            <w:vAlign w:val="center"/>
          </w:tcPr>
          <w:p>
            <w:pPr>
              <w:pStyle w:val="TableContents"/>
              <w:bidi w:val="0"/>
              <w:spacing w:before="0" w:after="283"/>
              <w:jc w:val="start"/>
              <w:rPr/>
            </w:pPr>
            <w:r>
              <w:rPr/>
              <w:t>Que se confunda con una evaluación estructural</w:t>
            </w:r>
          </w:p>
        </w:tc>
        <w:tc>
          <w:tcPr>
            <w:tcW w:w="1662" w:type="dxa"/>
            <w:tcBorders/>
            <w:vAlign w:val="center"/>
          </w:tcPr>
          <w:p>
            <w:pPr>
              <w:pStyle w:val="TableContents"/>
              <w:bidi w:val="0"/>
              <w:spacing w:before="0" w:after="283"/>
              <w:jc w:val="start"/>
              <w:rPr/>
            </w:pPr>
            <w:r>
              <w:rPr/>
              <w:t>Ley 400 de 1997 y NSR-10</w:t>
            </w:r>
          </w:p>
        </w:tc>
        <w:tc>
          <w:tcPr>
            <w:tcW w:w="1363" w:type="dxa"/>
            <w:tcBorders/>
            <w:vAlign w:val="center"/>
          </w:tcPr>
          <w:p>
            <w:pPr>
              <w:pStyle w:val="TableContents"/>
              <w:bidi w:val="0"/>
              <w:spacing w:before="0" w:after="283"/>
              <w:jc w:val="start"/>
              <w:rPr/>
            </w:pPr>
            <w:r>
              <w:rPr/>
              <w:t>Evitar la palabra "peritaje"; solo registrar si hay evaluación vigente y su fecha</w:t>
            </w:r>
          </w:p>
        </w:tc>
      </w:tr>
      <w:tr>
        <w:trPr/>
        <w:tc>
          <w:tcPr>
            <w:tcW w:w="1261" w:type="dxa"/>
            <w:tcBorders/>
            <w:vAlign w:val="center"/>
          </w:tcPr>
          <w:p>
            <w:pPr>
              <w:pStyle w:val="TableContents"/>
              <w:bidi w:val="0"/>
              <w:spacing w:before="0" w:after="283"/>
              <w:jc w:val="start"/>
              <w:rPr/>
            </w:pPr>
            <w:r>
              <w:rPr/>
              <w:t>Decisión</w:t>
            </w:r>
          </w:p>
        </w:tc>
        <w:tc>
          <w:tcPr>
            <w:tcW w:w="1178" w:type="dxa"/>
            <w:tcBorders/>
            <w:vAlign w:val="center"/>
          </w:tcPr>
          <w:p>
            <w:pPr>
              <w:pStyle w:val="TableContents"/>
              <w:bidi w:val="0"/>
              <w:spacing w:before="0" w:after="283"/>
              <w:jc w:val="start"/>
              <w:rPr/>
            </w:pPr>
            <w:r>
              <w:rPr/>
              <w:t>Datos de personas</w:t>
            </w:r>
          </w:p>
        </w:tc>
        <w:tc>
          <w:tcPr>
            <w:tcW w:w="1662" w:type="dxa"/>
            <w:tcBorders/>
            <w:vAlign w:val="center"/>
          </w:tcPr>
          <w:p>
            <w:pPr>
              <w:pStyle w:val="TableContents"/>
              <w:bidi w:val="0"/>
              <w:spacing w:before="0" w:after="283"/>
              <w:jc w:val="start"/>
              <w:rPr/>
            </w:pPr>
            <w:r>
              <w:rPr/>
              <w:t>Leyes 1581 de 2012 y 1098 de 2006</w:t>
            </w:r>
          </w:p>
        </w:tc>
        <w:tc>
          <w:tcPr>
            <w:tcW w:w="1363" w:type="dxa"/>
            <w:tcBorders/>
            <w:vAlign w:val="center"/>
          </w:tcPr>
          <w:p>
            <w:pPr>
              <w:pStyle w:val="TableContents"/>
              <w:bidi w:val="0"/>
              <w:spacing w:before="0" w:after="283"/>
              <w:jc w:val="start"/>
              <w:rPr/>
            </w:pPr>
            <w:r>
              <w:rPr/>
              <w:t>Solo conteos por ciclo vital</w:t>
            </w:r>
          </w:p>
        </w:tc>
      </w:tr>
      <w:tr>
        <w:trPr/>
        <w:tc>
          <w:tcPr>
            <w:tcW w:w="1261" w:type="dxa"/>
            <w:tcBorders/>
            <w:vAlign w:val="center"/>
          </w:tcPr>
          <w:p>
            <w:pPr>
              <w:pStyle w:val="TableContents"/>
              <w:bidi w:val="0"/>
              <w:spacing w:before="0" w:after="283"/>
              <w:jc w:val="start"/>
              <w:rPr/>
            </w:pPr>
            <w:r>
              <w:rPr/>
              <w:t>Adecuaciones</w:t>
            </w:r>
          </w:p>
        </w:tc>
        <w:tc>
          <w:tcPr>
            <w:tcW w:w="1178" w:type="dxa"/>
            <w:tcBorders/>
            <w:vAlign w:val="center"/>
          </w:tcPr>
          <w:p>
            <w:pPr>
              <w:pStyle w:val="TableContents"/>
              <w:bidi w:val="0"/>
              <w:spacing w:before="0" w:after="283"/>
              <w:jc w:val="start"/>
              <w:rPr/>
            </w:pPr>
            <w:r>
              <w:rPr/>
              <w:t>Obras en el espacio público</w:t>
            </w:r>
          </w:p>
        </w:tc>
        <w:tc>
          <w:tcPr>
            <w:tcW w:w="1662" w:type="dxa"/>
            <w:tcBorders/>
            <w:vAlign w:val="center"/>
          </w:tcPr>
          <w:p>
            <w:pPr>
              <w:pStyle w:val="TableContents"/>
              <w:bidi w:val="0"/>
              <w:spacing w:before="0" w:after="283"/>
              <w:jc w:val="start"/>
              <w:rPr/>
            </w:pPr>
            <w:r>
              <w:rPr/>
              <w:t>Decreto 1504 de 1998; POT (Acuerdo 0373 de 2014); licencia de intervención y ocupación del espacio público, Decreto 1077 de 2015 (verificar)</w:t>
            </w:r>
          </w:p>
        </w:tc>
        <w:tc>
          <w:tcPr>
            <w:tcW w:w="1363" w:type="dxa"/>
            <w:tcBorders/>
            <w:vAlign w:val="center"/>
          </w:tcPr>
          <w:p>
            <w:pPr>
              <w:pStyle w:val="TableContents"/>
              <w:bidi w:val="0"/>
              <w:spacing w:before="0" w:after="283"/>
              <w:jc w:val="start"/>
              <w:rPr/>
            </w:pPr>
            <w:r>
              <w:rPr/>
              <w:t>Solo se recomiendan; las ejecuta la entidad competente con licencia</w:t>
            </w:r>
          </w:p>
        </w:tc>
      </w:tr>
      <w:tr>
        <w:trPr/>
        <w:tc>
          <w:tcPr>
            <w:tcW w:w="1261" w:type="dxa"/>
            <w:tcBorders/>
            <w:vAlign w:val="center"/>
          </w:tcPr>
          <w:p>
            <w:pPr>
              <w:pStyle w:val="TableContents"/>
              <w:bidi w:val="0"/>
              <w:spacing w:before="0" w:after="283"/>
              <w:jc w:val="start"/>
              <w:rPr/>
            </w:pPr>
            <w:r>
              <w:rPr/>
              <w:t>Kit PVC</w:t>
            </w:r>
          </w:p>
        </w:tc>
        <w:tc>
          <w:tcPr>
            <w:tcW w:w="1178" w:type="dxa"/>
            <w:tcBorders/>
            <w:vAlign w:val="center"/>
          </w:tcPr>
          <w:p>
            <w:pPr>
              <w:pStyle w:val="TableContents"/>
              <w:bidi w:val="0"/>
              <w:spacing w:before="0" w:after="283"/>
              <w:jc w:val="start"/>
              <w:rPr/>
            </w:pPr>
            <w:r>
              <w:rPr/>
              <w:t>Incendio: el PVC libera cloruro de hidrógeno (gas tóxico) al quemarse</w:t>
            </w:r>
          </w:p>
        </w:tc>
        <w:tc>
          <w:tcPr>
            <w:tcW w:w="1662" w:type="dxa"/>
            <w:tcBorders/>
            <w:vAlign w:val="center"/>
          </w:tcPr>
          <w:p>
            <w:pPr>
              <w:pStyle w:val="TableContents"/>
              <w:bidi w:val="0"/>
              <w:spacing w:before="0" w:after="283"/>
              <w:jc w:val="start"/>
              <w:rPr/>
            </w:pPr>
            <w:r>
              <w:rPr/>
              <w:t>Ley 1575 de 2012 (Bomberos)</w:t>
            </w:r>
          </w:p>
        </w:tc>
        <w:tc>
          <w:tcPr>
            <w:tcW w:w="1363" w:type="dxa"/>
            <w:tcBorders/>
            <w:vAlign w:val="center"/>
          </w:tcPr>
          <w:p>
            <w:pPr>
              <w:pStyle w:val="TableContents"/>
              <w:bidi w:val="0"/>
              <w:spacing w:before="0" w:after="283"/>
              <w:jc w:val="start"/>
              <w:rPr/>
            </w:pPr>
            <w:r>
              <w:rPr/>
              <w:t xml:space="preserve">Material con retardante de llama y ficha técnica; </w:t>
            </w:r>
            <w:r>
              <w:rPr>
                <w:b/>
              </w:rPr>
              <w:t>se pide concepto a Bomberos</w:t>
            </w:r>
            <w:r>
              <w:rPr/>
              <w:t>, nosotros no lo emitimos</w:t>
            </w:r>
          </w:p>
        </w:tc>
      </w:tr>
      <w:tr>
        <w:trPr/>
        <w:tc>
          <w:tcPr>
            <w:tcW w:w="1261" w:type="dxa"/>
            <w:tcBorders/>
            <w:vAlign w:val="center"/>
          </w:tcPr>
          <w:p>
            <w:pPr>
              <w:pStyle w:val="TableContents"/>
              <w:bidi w:val="0"/>
              <w:spacing w:before="0" w:after="283"/>
              <w:jc w:val="start"/>
              <w:rPr/>
            </w:pPr>
            <w:r>
              <w:rPr/>
              <w:t>Kit PVC</w:t>
            </w:r>
          </w:p>
        </w:tc>
        <w:tc>
          <w:tcPr>
            <w:tcW w:w="1178" w:type="dxa"/>
            <w:tcBorders/>
            <w:vAlign w:val="center"/>
          </w:tcPr>
          <w:p>
            <w:pPr>
              <w:pStyle w:val="TableContents"/>
              <w:bidi w:val="0"/>
              <w:spacing w:before="0" w:after="283"/>
              <w:jc w:val="start"/>
              <w:rPr/>
            </w:pPr>
            <w:r>
              <w:rPr/>
              <w:t>Estabilidad frente a viento y réplicas</w:t>
            </w:r>
          </w:p>
        </w:tc>
        <w:tc>
          <w:tcPr>
            <w:tcW w:w="1662" w:type="dxa"/>
            <w:tcBorders/>
            <w:vAlign w:val="center"/>
          </w:tcPr>
          <w:p>
            <w:pPr>
              <w:pStyle w:val="TableContents"/>
              <w:bidi w:val="0"/>
              <w:spacing w:before="0" w:after="283"/>
              <w:jc w:val="start"/>
              <w:rPr/>
            </w:pPr>
            <w:r>
              <w:rPr/>
              <w:t>NSR-10 y su aplicación a estructuras temporales (verificar)</w:t>
            </w:r>
          </w:p>
        </w:tc>
        <w:tc>
          <w:tcPr>
            <w:tcW w:w="1363" w:type="dxa"/>
            <w:tcBorders/>
            <w:vAlign w:val="center"/>
          </w:tcPr>
          <w:p>
            <w:pPr>
              <w:pStyle w:val="TableContents"/>
              <w:bidi w:val="0"/>
              <w:spacing w:before="0" w:after="283"/>
              <w:jc w:val="start"/>
              <w:rPr/>
            </w:pPr>
            <w:r>
              <w:rPr/>
              <w:t>Diseño y firma de un profesional competente; en el prototipo, solo la ficha</w:t>
            </w:r>
          </w:p>
        </w:tc>
      </w:tr>
      <w:tr>
        <w:trPr/>
        <w:tc>
          <w:tcPr>
            <w:tcW w:w="1261" w:type="dxa"/>
            <w:tcBorders/>
            <w:vAlign w:val="center"/>
          </w:tcPr>
          <w:p>
            <w:pPr>
              <w:pStyle w:val="TableContents"/>
              <w:bidi w:val="0"/>
              <w:spacing w:before="0" w:after="283"/>
              <w:jc w:val="start"/>
              <w:rPr/>
            </w:pPr>
            <w:r>
              <w:rPr/>
              <w:t>Kit PVC</w:t>
            </w:r>
          </w:p>
        </w:tc>
        <w:tc>
          <w:tcPr>
            <w:tcW w:w="1178" w:type="dxa"/>
            <w:tcBorders/>
            <w:vAlign w:val="center"/>
          </w:tcPr>
          <w:p>
            <w:pPr>
              <w:pStyle w:val="TableContents"/>
              <w:bidi w:val="0"/>
              <w:spacing w:before="0" w:after="283"/>
              <w:jc w:val="start"/>
              <w:rPr/>
            </w:pPr>
            <w:r>
              <w:rPr/>
              <w:t>Condiciones dignas y protección</w:t>
            </w:r>
          </w:p>
        </w:tc>
        <w:tc>
          <w:tcPr>
            <w:tcW w:w="1662" w:type="dxa"/>
            <w:tcBorders/>
            <w:vAlign w:val="center"/>
          </w:tcPr>
          <w:p>
            <w:pPr>
              <w:pStyle w:val="TableContents"/>
              <w:bidi w:val="0"/>
              <w:spacing w:before="0" w:after="283"/>
              <w:jc w:val="start"/>
              <w:rPr/>
            </w:pPr>
            <w:r>
              <w:rPr/>
              <w:t>Estándares Esfera (3,5 m² por persona); Ley 1257 de 2008; Ley 1618 de 2013</w:t>
            </w:r>
          </w:p>
        </w:tc>
        <w:tc>
          <w:tcPr>
            <w:tcW w:w="1363" w:type="dxa"/>
            <w:tcBorders/>
            <w:vAlign w:val="center"/>
          </w:tcPr>
          <w:p>
            <w:pPr>
              <w:pStyle w:val="TableContents"/>
              <w:bidi w:val="0"/>
              <w:spacing w:before="0" w:after="283"/>
              <w:jc w:val="start"/>
              <w:rPr/>
            </w:pPr>
            <w:r>
              <w:rPr/>
              <w:t>Módulos con divisiones, zonas diferenciadas y accesibilidad</w:t>
            </w:r>
          </w:p>
        </w:tc>
      </w:tr>
      <w:tr>
        <w:trPr/>
        <w:tc>
          <w:tcPr>
            <w:tcW w:w="1261" w:type="dxa"/>
            <w:tcBorders/>
            <w:vAlign w:val="center"/>
          </w:tcPr>
          <w:p>
            <w:pPr>
              <w:pStyle w:val="TableContents"/>
              <w:bidi w:val="0"/>
              <w:spacing w:before="0" w:after="283"/>
              <w:jc w:val="start"/>
              <w:rPr/>
            </w:pPr>
            <w:r>
              <w:rPr/>
              <w:t>Kit PVC</w:t>
            </w:r>
          </w:p>
        </w:tc>
        <w:tc>
          <w:tcPr>
            <w:tcW w:w="1178" w:type="dxa"/>
            <w:tcBorders/>
            <w:vAlign w:val="center"/>
          </w:tcPr>
          <w:p>
            <w:pPr>
              <w:pStyle w:val="TableContents"/>
              <w:bidi w:val="0"/>
              <w:spacing w:before="0" w:after="283"/>
              <w:jc w:val="start"/>
              <w:rPr/>
            </w:pPr>
            <w:r>
              <w:rPr/>
              <w:t>Compra</w:t>
            </w:r>
          </w:p>
        </w:tc>
        <w:tc>
          <w:tcPr>
            <w:tcW w:w="1662" w:type="dxa"/>
            <w:tcBorders/>
            <w:vAlign w:val="center"/>
          </w:tcPr>
          <w:p>
            <w:pPr>
              <w:pStyle w:val="TableContents"/>
              <w:bidi w:val="0"/>
              <w:spacing w:before="0" w:after="283"/>
              <w:jc w:val="start"/>
              <w:rPr/>
            </w:pPr>
            <w:r>
              <w:rPr/>
              <w:t>Ley 80 de 1993, Ley 1150 de 2007; contratación especial en calamidad, Ley 1523 art. 66 (verificar el alcance)</w:t>
            </w:r>
          </w:p>
        </w:tc>
        <w:tc>
          <w:tcPr>
            <w:tcW w:w="1363" w:type="dxa"/>
            <w:tcBorders/>
            <w:vAlign w:val="center"/>
          </w:tcPr>
          <w:p>
            <w:pPr>
              <w:pStyle w:val="TableContents"/>
              <w:bidi w:val="0"/>
              <w:spacing w:before="0" w:after="283"/>
              <w:jc w:val="start"/>
              <w:rPr/>
            </w:pPr>
            <w:r>
              <w:rPr/>
              <w:t xml:space="preserve">Comprar y guardar </w:t>
            </w:r>
            <w:r>
              <w:rPr>
                <w:b/>
              </w:rPr>
              <w:t>antes</w:t>
            </w:r>
            <w:r>
              <w:rPr/>
              <w:t xml:space="preserve"> por contratación ordinaria; no depender de la urgencia manifiesta</w:t>
            </w:r>
          </w:p>
        </w:tc>
      </w:tr>
      <w:tr>
        <w:trPr/>
        <w:tc>
          <w:tcPr>
            <w:tcW w:w="1261" w:type="dxa"/>
            <w:tcBorders/>
            <w:vAlign w:val="center"/>
          </w:tcPr>
          <w:p>
            <w:pPr>
              <w:pStyle w:val="TableContents"/>
              <w:bidi w:val="0"/>
              <w:spacing w:before="0" w:after="283"/>
              <w:jc w:val="start"/>
              <w:rPr/>
            </w:pPr>
            <w:r>
              <w:rPr/>
              <w:t>Kit PVC</w:t>
            </w:r>
          </w:p>
        </w:tc>
        <w:tc>
          <w:tcPr>
            <w:tcW w:w="1178" w:type="dxa"/>
            <w:tcBorders/>
            <w:vAlign w:val="center"/>
          </w:tcPr>
          <w:p>
            <w:pPr>
              <w:pStyle w:val="TableContents"/>
              <w:bidi w:val="0"/>
              <w:spacing w:before="0" w:after="283"/>
              <w:jc w:val="start"/>
              <w:rPr/>
            </w:pPr>
            <w:r>
              <w:rPr/>
              <w:t>Uso en eventos</w:t>
            </w:r>
          </w:p>
        </w:tc>
        <w:tc>
          <w:tcPr>
            <w:tcW w:w="1662" w:type="dxa"/>
            <w:tcBorders/>
            <w:vAlign w:val="center"/>
          </w:tcPr>
          <w:p>
            <w:pPr>
              <w:pStyle w:val="TableContents"/>
              <w:bidi w:val="0"/>
              <w:spacing w:before="0" w:after="283"/>
              <w:jc w:val="start"/>
              <w:rPr/>
            </w:pPr>
            <w:r>
              <w:rPr/>
              <w:t>Marco de aprovechamiento económico del espacio público de Cali (verificar)</w:t>
            </w:r>
          </w:p>
        </w:tc>
        <w:tc>
          <w:tcPr>
            <w:tcW w:w="1363" w:type="dxa"/>
            <w:tcBorders/>
            <w:vAlign w:val="center"/>
          </w:tcPr>
          <w:p>
            <w:pPr>
              <w:pStyle w:val="TableContents"/>
              <w:bidi w:val="0"/>
              <w:spacing w:before="0" w:after="283"/>
              <w:jc w:val="start"/>
              <w:rPr/>
            </w:pPr>
            <w:r>
              <w:rPr/>
              <w:t xml:space="preserve">El kit es de la Alcaldía; el uso en eventos queda reglado y </w:t>
            </w:r>
            <w:r>
              <w:rPr>
                <w:b/>
              </w:rPr>
              <w:t>tiene prioridad la emergencia</w:t>
            </w:r>
          </w:p>
        </w:tc>
      </w:tr>
      <w:tr>
        <w:trPr/>
        <w:tc>
          <w:tcPr>
            <w:tcW w:w="1261" w:type="dxa"/>
            <w:tcBorders/>
            <w:vAlign w:val="center"/>
          </w:tcPr>
          <w:p>
            <w:pPr>
              <w:pStyle w:val="TableContents"/>
              <w:bidi w:val="0"/>
              <w:spacing w:before="0" w:after="283"/>
              <w:jc w:val="start"/>
              <w:rPr/>
            </w:pPr>
            <w:r>
              <w:rPr/>
              <w:t>Kit PVC e IoT</w:t>
            </w:r>
          </w:p>
        </w:tc>
        <w:tc>
          <w:tcPr>
            <w:tcW w:w="1178" w:type="dxa"/>
            <w:tcBorders/>
            <w:vAlign w:val="center"/>
          </w:tcPr>
          <w:p>
            <w:pPr>
              <w:pStyle w:val="TableContents"/>
              <w:bidi w:val="0"/>
              <w:spacing w:before="0" w:after="283"/>
              <w:jc w:val="start"/>
              <w:rPr/>
            </w:pPr>
            <w:r>
              <w:rPr/>
              <w:t>Fin de vida útil</w:t>
            </w:r>
          </w:p>
        </w:tc>
        <w:tc>
          <w:tcPr>
            <w:tcW w:w="1662" w:type="dxa"/>
            <w:tcBorders/>
            <w:vAlign w:val="center"/>
          </w:tcPr>
          <w:p>
            <w:pPr>
              <w:pStyle w:val="TableContents"/>
              <w:bidi w:val="0"/>
              <w:spacing w:before="0" w:after="283"/>
              <w:jc w:val="start"/>
              <w:rPr/>
            </w:pPr>
            <w:r>
              <w:rPr/>
              <w:t>Ley 1672 de 2013 (RAEE, residuos electrónicos)</w:t>
            </w:r>
          </w:p>
        </w:tc>
        <w:tc>
          <w:tcPr>
            <w:tcW w:w="1363" w:type="dxa"/>
            <w:tcBorders/>
            <w:vAlign w:val="center"/>
          </w:tcPr>
          <w:p>
            <w:pPr>
              <w:pStyle w:val="TableContents"/>
              <w:bidi w:val="0"/>
              <w:spacing w:before="0" w:after="283"/>
              <w:jc w:val="start"/>
              <w:rPr/>
            </w:pPr>
            <w:r>
              <w:rPr/>
              <w:t>Plan de devolución y reciclaje de los sensores</w:t>
            </w:r>
          </w:p>
        </w:tc>
      </w:tr>
      <w:tr>
        <w:trPr/>
        <w:tc>
          <w:tcPr>
            <w:tcW w:w="1261" w:type="dxa"/>
            <w:tcBorders/>
            <w:vAlign w:val="center"/>
          </w:tcPr>
          <w:p>
            <w:pPr>
              <w:pStyle w:val="TableContents"/>
              <w:bidi w:val="0"/>
              <w:spacing w:before="0" w:after="283"/>
              <w:jc w:val="start"/>
              <w:rPr/>
            </w:pPr>
            <w:r>
              <w:rPr/>
              <w:t>IoT</w:t>
            </w:r>
          </w:p>
        </w:tc>
        <w:tc>
          <w:tcPr>
            <w:tcW w:w="1178" w:type="dxa"/>
            <w:tcBorders/>
            <w:vAlign w:val="center"/>
          </w:tcPr>
          <w:p>
            <w:pPr>
              <w:pStyle w:val="TableContents"/>
              <w:bidi w:val="0"/>
              <w:spacing w:before="0" w:after="283"/>
              <w:jc w:val="start"/>
              <w:rPr/>
            </w:pPr>
            <w:r>
              <w:rPr/>
              <w:t>Espectro y equipos</w:t>
            </w:r>
          </w:p>
        </w:tc>
        <w:tc>
          <w:tcPr>
            <w:tcW w:w="1662" w:type="dxa"/>
            <w:tcBorders/>
            <w:vAlign w:val="center"/>
          </w:tcPr>
          <w:p>
            <w:pPr>
              <w:pStyle w:val="TableContents"/>
              <w:bidi w:val="0"/>
              <w:spacing w:before="0" w:after="283"/>
              <w:jc w:val="start"/>
              <w:rPr/>
            </w:pPr>
            <w:r>
              <w:rPr/>
              <w:t>Resolución ANE 105 de 2020 (uso libre en 915–928 MHz, 2,4 GHz y 433 MHz); homologación CRC</w:t>
            </w:r>
          </w:p>
        </w:tc>
        <w:tc>
          <w:tcPr>
            <w:tcW w:w="1363" w:type="dxa"/>
            <w:tcBorders/>
            <w:vAlign w:val="center"/>
          </w:tcPr>
          <w:p>
            <w:pPr>
              <w:pStyle w:val="TableContents"/>
              <w:bidi w:val="0"/>
              <w:spacing w:before="0" w:after="283"/>
              <w:jc w:val="start"/>
              <w:rPr/>
            </w:pPr>
            <w:r>
              <w:rPr/>
              <w:t>Solo equipos homologados en bandas de uso libre</w:t>
            </w:r>
          </w:p>
        </w:tc>
      </w:tr>
      <w:tr>
        <w:trPr/>
        <w:tc>
          <w:tcPr>
            <w:tcW w:w="1261" w:type="dxa"/>
            <w:tcBorders/>
            <w:vAlign w:val="center"/>
          </w:tcPr>
          <w:p>
            <w:pPr>
              <w:pStyle w:val="TableContents"/>
              <w:bidi w:val="0"/>
              <w:spacing w:before="0" w:after="283"/>
              <w:jc w:val="start"/>
              <w:rPr/>
            </w:pPr>
            <w:r>
              <w:rPr/>
              <w:t>IoT</w:t>
            </w:r>
          </w:p>
        </w:tc>
        <w:tc>
          <w:tcPr>
            <w:tcW w:w="1178" w:type="dxa"/>
            <w:tcBorders/>
            <w:vAlign w:val="center"/>
          </w:tcPr>
          <w:p>
            <w:pPr>
              <w:pStyle w:val="TableContents"/>
              <w:bidi w:val="0"/>
              <w:spacing w:before="0" w:after="283"/>
              <w:jc w:val="start"/>
              <w:rPr/>
            </w:pPr>
            <w:r>
              <w:rPr/>
              <w:t>Rastreo de personas</w:t>
            </w:r>
          </w:p>
        </w:tc>
        <w:tc>
          <w:tcPr>
            <w:tcW w:w="1662" w:type="dxa"/>
            <w:tcBorders/>
            <w:vAlign w:val="center"/>
          </w:tcPr>
          <w:p>
            <w:pPr>
              <w:pStyle w:val="TableContents"/>
              <w:bidi w:val="0"/>
              <w:spacing w:before="0" w:after="283"/>
              <w:jc w:val="start"/>
              <w:rPr/>
            </w:pPr>
            <w:r>
              <w:rPr/>
              <w:t>Ley 1581; líneas rojas del reto</w:t>
            </w:r>
          </w:p>
        </w:tc>
        <w:tc>
          <w:tcPr>
            <w:tcW w:w="1363" w:type="dxa"/>
            <w:tcBorders/>
            <w:vAlign w:val="center"/>
          </w:tcPr>
          <w:p>
            <w:pPr>
              <w:pStyle w:val="TableContents"/>
              <w:bidi w:val="0"/>
              <w:spacing w:before="0" w:after="283"/>
              <w:jc w:val="start"/>
              <w:rPr/>
            </w:pPr>
            <w:r>
              <w:rPr/>
              <w:t>Sin cámaras ni captura de direcciones MAC o Bluetooth; solo conteos anónimos y variables ambientales</w:t>
            </w:r>
          </w:p>
        </w:tc>
      </w:tr>
      <w:tr>
        <w:trPr/>
        <w:tc>
          <w:tcPr>
            <w:tcW w:w="1261" w:type="dxa"/>
            <w:tcBorders/>
            <w:vAlign w:val="center"/>
          </w:tcPr>
          <w:p>
            <w:pPr>
              <w:pStyle w:val="TableContents"/>
              <w:bidi w:val="0"/>
              <w:spacing w:before="0" w:after="283"/>
              <w:jc w:val="start"/>
              <w:rPr/>
            </w:pPr>
            <w:r>
              <w:rPr/>
              <w:t>IoT</w:t>
            </w:r>
          </w:p>
        </w:tc>
        <w:tc>
          <w:tcPr>
            <w:tcW w:w="1178" w:type="dxa"/>
            <w:tcBorders/>
            <w:vAlign w:val="center"/>
          </w:tcPr>
          <w:p>
            <w:pPr>
              <w:pStyle w:val="TableContents"/>
              <w:bidi w:val="0"/>
              <w:spacing w:before="0" w:after="283"/>
              <w:jc w:val="start"/>
              <w:rPr/>
            </w:pPr>
            <w:r>
              <w:rPr/>
              <w:t>Seguridad y apertura</w:t>
            </w:r>
          </w:p>
        </w:tc>
        <w:tc>
          <w:tcPr>
            <w:tcW w:w="1662" w:type="dxa"/>
            <w:tcBorders/>
            <w:vAlign w:val="center"/>
          </w:tcPr>
          <w:p>
            <w:pPr>
              <w:pStyle w:val="TableContents"/>
              <w:bidi w:val="0"/>
              <w:spacing w:before="0" w:after="283"/>
              <w:jc w:val="start"/>
              <w:rPr/>
            </w:pPr>
            <w:r>
              <w:rPr/>
              <w:t>Decreto 767 de 2022 (MSPI); Ley 1712 de 2014</w:t>
            </w:r>
          </w:p>
        </w:tc>
        <w:tc>
          <w:tcPr>
            <w:tcW w:w="1363" w:type="dxa"/>
            <w:tcBorders/>
            <w:vAlign w:val="center"/>
          </w:tcPr>
          <w:p>
            <w:pPr>
              <w:pStyle w:val="TableContents"/>
              <w:bidi w:val="0"/>
              <w:spacing w:before="0" w:after="283"/>
              <w:jc w:val="start"/>
              <w:rPr/>
            </w:pPr>
            <w:r>
              <w:rPr/>
              <w:t>Cifrado; datos operativos agregados como datos abiertos</w:t>
            </w:r>
          </w:p>
        </w:tc>
      </w:tr>
      <w:tr>
        <w:trPr/>
        <w:tc>
          <w:tcPr>
            <w:tcW w:w="1261" w:type="dxa"/>
            <w:tcBorders/>
            <w:vAlign w:val="center"/>
          </w:tcPr>
          <w:p>
            <w:pPr>
              <w:pStyle w:val="TableContents"/>
              <w:bidi w:val="0"/>
              <w:spacing w:before="0" w:after="283"/>
              <w:jc w:val="start"/>
              <w:rPr/>
            </w:pPr>
            <w:r>
              <w:rPr/>
              <w:t>IoT</w:t>
            </w:r>
          </w:p>
        </w:tc>
        <w:tc>
          <w:tcPr>
            <w:tcW w:w="1178" w:type="dxa"/>
            <w:tcBorders/>
            <w:vAlign w:val="center"/>
          </w:tcPr>
          <w:p>
            <w:pPr>
              <w:pStyle w:val="TableContents"/>
              <w:bidi w:val="0"/>
              <w:spacing w:before="0" w:after="283"/>
              <w:jc w:val="start"/>
              <w:rPr/>
            </w:pPr>
            <w:r>
              <w:rPr/>
              <w:t>Alertas oficiales</w:t>
            </w:r>
          </w:p>
        </w:tc>
        <w:tc>
          <w:tcPr>
            <w:tcW w:w="1662" w:type="dxa"/>
            <w:tcBorders/>
            <w:vAlign w:val="center"/>
          </w:tcPr>
          <w:p>
            <w:pPr>
              <w:pStyle w:val="TableContents"/>
              <w:bidi w:val="0"/>
              <w:spacing w:before="0" w:after="283"/>
              <w:jc w:val="start"/>
              <w:rPr/>
            </w:pPr>
            <w:r>
              <w:rPr/>
              <w:t>Ley 1523 (competencias)</w:t>
            </w:r>
          </w:p>
        </w:tc>
        <w:tc>
          <w:tcPr>
            <w:tcW w:w="1363" w:type="dxa"/>
            <w:tcBorders/>
            <w:vAlign w:val="center"/>
          </w:tcPr>
          <w:p>
            <w:pPr>
              <w:pStyle w:val="TableContents"/>
              <w:bidi w:val="0"/>
              <w:spacing w:before="0" w:after="283"/>
              <w:jc w:val="start"/>
              <w:rPr/>
            </w:pPr>
            <w:r>
              <w:rPr/>
              <w:t>Los sensores dan datos operativos; las alertas las emiten el IDEAM, la CVC, el SGC o la autoridad</w:t>
            </w:r>
          </w:p>
        </w:tc>
      </w:tr>
    </w:tbl>
    <w:p>
      <w:pPr>
        <w:pStyle w:val="Heading2"/>
        <w:bidi w:val="0"/>
        <w:jc w:val="start"/>
        <w:rPr/>
      </w:pPr>
      <w:r>
        <w:rPr/>
        <w:t>6.2 Datos reales y zonas más afectadas (25 de septiembre)</w:t>
      </w:r>
    </w:p>
    <w:p>
      <w:pPr>
        <w:pStyle w:val="BodyText"/>
        <w:bidi w:val="0"/>
        <w:jc w:val="start"/>
        <w:rPr/>
      </w:pPr>
      <w:r>
        <w:rPr>
          <w:b/>
        </w:rPr>
        <w:t>Decisión:</w:t>
      </w:r>
      <w:r>
        <w:rPr/>
        <w:t xml:space="preserve"> el alcance es Santiago de Cali y el prototipo usa </w:t>
      </w:r>
      <w:r>
        <w:rPr>
          <w:b/>
        </w:rPr>
        <w:t>datos reales y públicos</w:t>
      </w:r>
      <w:r>
        <w:rPr/>
        <w:t xml:space="preserve">, no simulados. El detalle está en </w:t>
      </w:r>
      <w:r>
        <w:rPr>
          <w:rStyle w:val="SourceText"/>
        </w:rPr>
        <w:t>docs/DATASETS.md</w:t>
      </w:r>
      <w:r>
        <w:rPr/>
        <w:t xml:space="preserve">, los datos en </w:t>
      </w:r>
      <w:r>
        <w:rPr>
          <w:rStyle w:val="SourceText"/>
        </w:rPr>
        <w:t>prototipo/datos/</w:t>
      </w:r>
      <w:r>
        <w:rPr/>
        <w:t xml:space="preserve"> y los scripts en </w:t>
      </w:r>
      <w:r>
        <w:rPr>
          <w:rStyle w:val="SourceText"/>
        </w:rPr>
        <w:t>prototipo/scripts/</w:t>
      </w:r>
      <w:r>
        <w:rPr/>
        <w:t>.</w:t>
      </w:r>
    </w:p>
    <w:p>
      <w:pPr>
        <w:pStyle w:val="BodyText"/>
        <w:numPr>
          <w:ilvl w:val="0"/>
          <w:numId w:val="16"/>
        </w:numPr>
        <w:tabs>
          <w:tab w:val="clear" w:pos="1134"/>
          <w:tab w:val="left" w:pos="709" w:leader="none"/>
        </w:tabs>
        <w:bidi w:val="0"/>
        <w:spacing w:before="0" w:after="0"/>
        <w:ind w:hanging="283" w:start="709"/>
        <w:jc w:val="start"/>
        <w:rPr/>
      </w:pPr>
      <w:r>
        <w:rPr>
          <w:b/>
        </w:rPr>
        <w:t>Sismo del 10 de agosto:</w:t>
      </w:r>
      <w:r>
        <w:rPr/>
        <w:t xml:space="preserve"> 1.090 puntos de daño georreferenciados (Copernicus EMSR916, ICube-SERTIT, Microsoft/Airbus y sedes del MEN) cruzados con las comunas. Las más afectadas son la </w:t>
      </w:r>
      <w:r>
        <w:rPr>
          <w:b/>
        </w:rPr>
        <w:t>19</w:t>
      </w:r>
      <w:r>
        <w:rPr/>
        <w:t xml:space="preserve"> (Nueva Tequendama, Cuarto de Legua, Los Cámbulos), la </w:t>
      </w:r>
      <w:r>
        <w:rPr>
          <w:b/>
        </w:rPr>
        <w:t>20</w:t>
      </w:r>
      <w:r>
        <w:rPr/>
        <w:t xml:space="preserve"> (Siloé), la </w:t>
      </w:r>
      <w:r>
        <w:rPr>
          <w:b/>
        </w:rPr>
        <w:t>2</w:t>
      </w:r>
      <w:r>
        <w:rPr/>
        <w:t xml:space="preserve">, la </w:t>
      </w:r>
      <w:r>
        <w:rPr>
          <w:b/>
        </w:rPr>
        <w:t>13</w:t>
      </w:r>
      <w:r>
        <w:rPr/>
        <w:t xml:space="preserve">, la </w:t>
      </w:r>
      <w:r>
        <w:rPr>
          <w:b/>
        </w:rPr>
        <w:t>9</w:t>
      </w:r>
      <w:r>
        <w:rPr/>
        <w:t xml:space="preserve"> (Barrio Obrero, Sucre) y la </w:t>
      </w:r>
      <w:r>
        <w:rPr>
          <w:b/>
        </w:rPr>
        <w:t>3</w:t>
      </w:r>
      <w:r>
        <w:rPr/>
        <w:t xml:space="preserve">. *Sesgo:* la cobertura satelital es parcial, así que hay que pedir el RUD por barrio. </w:t>
      </w:r>
    </w:p>
    <w:p>
      <w:pPr>
        <w:pStyle w:val="BodyText"/>
        <w:numPr>
          <w:ilvl w:val="0"/>
          <w:numId w:val="16"/>
        </w:numPr>
        <w:tabs>
          <w:tab w:val="clear" w:pos="1134"/>
          <w:tab w:val="left" w:pos="709" w:leader="none"/>
        </w:tabs>
        <w:bidi w:val="0"/>
        <w:spacing w:before="0" w:after="0"/>
        <w:ind w:hanging="283" w:start="709"/>
        <w:jc w:val="start"/>
        <w:rPr/>
      </w:pPr>
      <w:r>
        <w:rPr>
          <w:b/>
        </w:rPr>
        <w:t>Cifras oficiales:</w:t>
      </w:r>
      <w:r>
        <w:rPr/>
        <w:t xml:space="preserve"> RUD con corte al 17 de septiembre: 45.138 familias, 879 viviendas destruidas y 16.357 averiadas. Balance del 23 de septiembre: 3.403 edificaciones evaluadas (1.078 rojo, 1.272 amarillo y 1.053 verde) y 333 personas en alojamientos temporales. </w:t>
      </w:r>
    </w:p>
    <w:p>
      <w:pPr>
        <w:pStyle w:val="BodyText"/>
        <w:numPr>
          <w:ilvl w:val="0"/>
          <w:numId w:val="16"/>
        </w:numPr>
        <w:tabs>
          <w:tab w:val="clear" w:pos="1134"/>
          <w:tab w:val="left" w:pos="709" w:leader="none"/>
        </w:tabs>
        <w:bidi w:val="0"/>
        <w:spacing w:before="0" w:after="0"/>
        <w:ind w:hanging="283" w:start="709"/>
        <w:jc w:val="start"/>
        <w:rPr/>
      </w:pPr>
      <w:r>
        <w:rPr>
          <w:b/>
        </w:rPr>
        <w:t>Hallazgo multiamenaza con datos:</w:t>
      </w:r>
      <w:r>
        <w:rPr/>
        <w:t xml:space="preserve"> en el occidente y el sur (comunas 1, 3, 9, 17, 18, 19 y 20) estuvo el daño sísmico, pero sus espacios son aptos como albergue (sin inundación ni licuación). En el oriente, sobre el Jarillón (comunas 6, 7, 13, 14 y 21), entre el 55 y el 92 % de los espacios tiene amenaza alta de inundación y casi todos están en suelo licuable, así que sirven como amortiguación, no como albergue. </w:t>
      </w:r>
    </w:p>
    <w:p>
      <w:pPr>
        <w:pStyle w:val="BodyText"/>
        <w:numPr>
          <w:ilvl w:val="0"/>
          <w:numId w:val="16"/>
        </w:numPr>
        <w:tabs>
          <w:tab w:val="clear" w:pos="1134"/>
          <w:tab w:val="left" w:pos="709" w:leader="none"/>
        </w:tabs>
        <w:bidi w:val="0"/>
        <w:spacing w:before="0" w:after="0"/>
        <w:ind w:hanging="283" w:start="709"/>
        <w:jc w:val="start"/>
        <w:rPr/>
      </w:pPr>
      <w:r>
        <w:rPr>
          <w:b/>
        </w:rPr>
        <w:t>Validación de la Defensoría:</w:t>
      </w:r>
      <w:r>
        <w:rPr/>
        <w:t xml:space="preserve"> los parques de Chiminangos I y II y de Calimio, donde hubo albergues autogestionados, tienen amenaza </w:t>
      </w:r>
      <w:r>
        <w:rPr>
          <w:b/>
        </w:rPr>
        <w:t>alta</w:t>
      </w:r>
      <w:r>
        <w:rPr/>
        <w:t xml:space="preserve"> de inundación, están en suelo </w:t>
      </w:r>
      <w:r>
        <w:rPr>
          <w:b/>
        </w:rPr>
        <w:t>licuable</w:t>
      </w:r>
      <w:r>
        <w:rPr/>
        <w:t xml:space="preserve"> y quedan </w:t>
      </w:r>
      <w:r>
        <w:rPr>
          <w:b/>
        </w:rPr>
        <w:t>a entre 72 y 152 m del dique</w:t>
      </w:r>
      <w:r>
        <w:rPr/>
        <w:t xml:space="preserve"> del río Cauca en Urbanización Calimio. </w:t>
      </w:r>
    </w:p>
    <w:p>
      <w:pPr>
        <w:pStyle w:val="BodyText"/>
        <w:numPr>
          <w:ilvl w:val="0"/>
          <w:numId w:val="16"/>
        </w:numPr>
        <w:tabs>
          <w:tab w:val="clear" w:pos="1134"/>
          <w:tab w:val="left" w:pos="709" w:leader="none"/>
        </w:tabs>
        <w:bidi w:val="0"/>
        <w:ind w:hanging="283" w:start="709"/>
        <w:jc w:val="start"/>
        <w:rPr/>
      </w:pPr>
      <w:r>
        <w:rPr>
          <w:b/>
        </w:rPr>
        <w:t>Vacíos:</w:t>
      </w:r>
      <w:r>
        <w:rPr/>
        <w:t xml:space="preserve"> el RUD y las evaluaciones por barrio, el nivel del río en Juanchito (la CVC no tiene API), el aforo y los servicios de los escenarios, la población de 2026 por comuna y las redes de EMCALI. </w:t>
      </w:r>
    </w:p>
    <w:p>
      <w:pPr>
        <w:pStyle w:val="Heading2"/>
        <w:bidi w:val="0"/>
        <w:jc w:val="start"/>
        <w:rPr/>
      </w:pPr>
      <w:r>
        <w:rPr/>
        <w:t>7. Pendientes</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Artefacto 2: redactar los 6 campos y el "¿Cómo podríamos…?" con los hallazgos propios (albergues autogestionados y la amenaza cruzada con el Jarillón).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Artefacto 3: generar 6 a 8 ideas y filtrarlas.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Artefacto 4: propuesta de valor, validación con un usuario real (JAC de Chiminangos o Calimio Norte, o la Secretaría de Gestión del Riesgo) y plan del prototipo. </w:t>
      </w:r>
    </w:p>
    <w:p>
      <w:pPr>
        <w:pStyle w:val="BodyText"/>
        <w:numPr>
          <w:ilvl w:val="0"/>
          <w:numId w:val="17"/>
        </w:numPr>
        <w:tabs>
          <w:tab w:val="clear" w:pos="1134"/>
          <w:tab w:val="left" w:pos="709" w:leader="none"/>
        </w:tabs>
        <w:bidi w:val="0"/>
        <w:spacing w:before="0" w:after="0"/>
        <w:ind w:hanging="283" w:start="709"/>
        <w:jc w:val="start"/>
        <w:rPr/>
      </w:pPr>
      <w:r>
        <w:rPr/>
        <w:t>[x] Datos reales de Cali: inventario de 1.970 espacios × amenazas y afectación del sismo por comuna (</w:t>
      </w:r>
      <w:r>
        <w:rPr>
          <w:rStyle w:val="SourceText"/>
        </w:rPr>
        <w:t>docs/DATASETS.md</w:t>
      </w:r>
      <w:r>
        <w:rPr/>
        <w:t xml:space="preserve">).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Derecho de petición a la Secretaría de Gestión del Riesgo: RUD y evaluaciones de edificaciones </w:t>
      </w:r>
      <w:r>
        <w:rPr>
          <w:b/>
        </w:rPr>
        <w:t>agregadas por barrio</w:t>
      </w:r>
      <w:r>
        <w:rPr/>
        <w:t xml:space="preserve"> (Leyes 1712 y 1755).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Geocodificar los 4 alojamientos oficiales y los 3 autogestionados, y agregarlos al inventario.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Sábado: subir </w:t>
      </w:r>
      <w:r>
        <w:rPr>
          <w:rStyle w:val="SourceText"/>
        </w:rPr>
        <w:t>inventario_espacios_cali.csv</w:t>
      </w:r>
      <w:r>
        <w:rPr/>
        <w:t xml:space="preserve"> a Sheets, construir el prototipo No-Code y grabar el video.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Agregar a la ficha de aptitud el campo "papel según la amenaza" (albergue, amortiguador o punto de agua) y los atributos de agua almacenada, baños sin red y energía propia (ver los referentes internacionales). </w:t>
      </w:r>
    </w:p>
    <w:p>
      <w:pPr>
        <w:pStyle w:val="BodyText"/>
        <w:numPr>
          <w:ilvl w:val="0"/>
          <w:numId w:val="17"/>
        </w:numPr>
        <w:tabs>
          <w:tab w:val="clear" w:pos="1134"/>
          <w:tab w:val="left" w:pos="709" w:leader="none"/>
        </w:tabs>
        <w:bidi w:val="0"/>
        <w:spacing w:before="0" w:after="0"/>
        <w:ind w:hanging="283" w:start="709"/>
        <w:jc w:val="start"/>
        <w:rPr/>
      </w:pPr>
      <w:r>
        <w:rPr/>
        <w:t xml:space="preserve">[x] Ruta de aprendizaje y Gema de Gemini para entrenar al equipo: </w:t>
      </w:r>
      <w:r>
        <w:rPr>
          <w:rStyle w:val="SourceText"/>
        </w:rPr>
        <w:t>gema/INSTRUCCIONES_GEMA.md</w:t>
      </w:r>
      <w:r>
        <w:rPr/>
        <w:t xml:space="preserve"> y </w:t>
      </w:r>
      <w:r>
        <w:rPr>
          <w:rStyle w:val="SourceText"/>
        </w:rPr>
        <w:t>gema/RUTA_APRENDIZAJE.pdf</w:t>
      </w:r>
      <w:r>
        <w:rPr/>
        <w:t xml:space="preserve"> (incluye el análisis de la competencia del RETO-01).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b/>
        </w:rPr>
        <w:t>Decidir el nombre:</w:t>
      </w:r>
      <w:r>
        <w:rPr/>
        <w:t xml:space="preserve"> "Cali Activa" (el nombre del reto) o "Cali Lista" (el de Pablo). Opción: usar Cali Lista para el producto y mencionar que responde a Cali Activa.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Pedirle al integrante de los refugios de PVC su material (ficha, bocetos, sensores) y sumarlo a </w:t>
      </w:r>
      <w:r>
        <w:rPr>
          <w:rStyle w:val="SourceText"/>
        </w:rPr>
        <w:t>docs/</w:t>
      </w:r>
      <w:r>
        <w:rPr/>
        <w:t xml:space="preserve">.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Unificar el formulario de Cali Lista con las columnas de </w:t>
      </w:r>
      <w:r>
        <w:rPr>
          <w:rStyle w:val="SourceText"/>
        </w:rPr>
        <w:t>inventario_espacios_cali.csv</w:t>
      </w:r>
      <w:r>
        <w:rPr/>
        <w:t xml:space="preserve">.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 xml:space="preserve">Marco legal: verificar las normas marcadas con (verificar) en la sección 6.1. </w:t>
      </w:r>
    </w:p>
    <w:p>
      <w:pPr>
        <w:pStyle w:val="BodyText"/>
        <w:numPr>
          <w:ilvl w:val="0"/>
          <w:numId w:val="17"/>
        </w:numPr>
        <w:tabs>
          <w:tab w:val="clear" w:pos="1134"/>
          <w:tab w:val="left" w:pos="709" w:leader="none"/>
        </w:tabs>
        <w:bidi w:val="0"/>
        <w:spacing w:before="0" w:after="0"/>
        <w:ind w:hanging="283" w:start="709"/>
        <w:jc w:val="start"/>
        <w:rPr/>
      </w:pPr>
      <w:r>
        <w:rPr/>
        <w:t xml:space="preserve">☐ </w:t>
      </w:r>
      <w:r>
        <w:rPr/>
        <w:t>Actualizar la Gema (</w:t>
      </w:r>
      <w:r>
        <w:rPr>
          <w:rStyle w:val="SourceText"/>
        </w:rPr>
        <w:t>gema/RUTA_APRENDIZAJE</w:t>
      </w:r>
      <w:r>
        <w:rPr/>
        <w:t xml:space="preserve">) con la propuesta integrada. </w:t>
      </w:r>
    </w:p>
    <w:p>
      <w:pPr>
        <w:pStyle w:val="BodyText"/>
        <w:numPr>
          <w:ilvl w:val="0"/>
          <w:numId w:val="17"/>
        </w:numPr>
        <w:tabs>
          <w:tab w:val="clear" w:pos="1134"/>
          <w:tab w:val="left" w:pos="709" w:leader="none"/>
        </w:tabs>
        <w:bidi w:val="0"/>
        <w:ind w:hanging="283" w:start="709"/>
        <w:jc w:val="start"/>
        <w:rPr/>
      </w:pPr>
      <w:r>
        <w:rPr/>
        <w:t xml:space="preserve">☐ </w:t>
      </w:r>
      <w:r>
        <w:rPr/>
        <w:t xml:space="preserve">Confirmar las cifras oficiales de muertos en Cali (105 vs. 154) y las normas marcadas con (verificar). </w:t>
      </w:r>
    </w:p>
    <w:p>
      <w:pPr>
        <w:pStyle w:val="Heading2"/>
        <w:bidi w:val="0"/>
        <w:jc w:val="start"/>
        <w:rPr/>
      </w:pPr>
      <w:r>
        <w:rPr/>
        <w:t>8. Fuentes consultadas</w:t>
      </w:r>
    </w:p>
    <w:p>
      <w:pPr>
        <w:pStyle w:val="BodyText"/>
        <w:numPr>
          <w:ilvl w:val="0"/>
          <w:numId w:val="18"/>
        </w:numPr>
        <w:tabs>
          <w:tab w:val="clear" w:pos="1134"/>
          <w:tab w:val="left" w:pos="709" w:leader="none"/>
        </w:tabs>
        <w:bidi w:val="0"/>
        <w:spacing w:before="0" w:after="0"/>
        <w:ind w:hanging="283" w:start="709"/>
        <w:jc w:val="start"/>
        <w:rPr/>
      </w:pPr>
      <w:r>
        <w:rPr>
          <w:b/>
        </w:rPr>
        <w:t xml:space="preserve">Catálogo con la URL de descarga de cada dataset: </w:t>
      </w:r>
      <w:r>
        <w:rPr>
          <w:rStyle w:val="SourceText"/>
          <w:b/>
        </w:rPr>
        <w:t>prototipo/datos/FUENTES.md</w:t>
      </w:r>
      <w:r>
        <w:rPr>
          <w:b/>
        </w:rPr>
        <w:t xml:space="preserve"> y </w:t>
      </w:r>
      <w:r>
        <w:rPr>
          <w:rStyle w:val="SourceText"/>
          <w:b/>
        </w:rPr>
        <w:t>prototipo/datos/fuentes.csv</w:t>
      </w:r>
      <w:r>
        <w:rPr/>
        <w:t xml:space="preserve"> </w:t>
      </w:r>
    </w:p>
    <w:p>
      <w:pPr>
        <w:pStyle w:val="BodyText"/>
        <w:numPr>
          <w:ilvl w:val="0"/>
          <w:numId w:val="18"/>
        </w:numPr>
        <w:tabs>
          <w:tab w:val="clear" w:pos="1134"/>
          <w:tab w:val="left" w:pos="709" w:leader="none"/>
        </w:tabs>
        <w:bidi w:val="0"/>
        <w:spacing w:before="0" w:after="0"/>
        <w:ind w:hanging="283" w:start="709"/>
        <w:jc w:val="start"/>
        <w:rPr/>
      </w:pPr>
      <w:r>
        <w:rPr/>
        <w:t xml:space="preserve">Datos reales (ver </w:t>
      </w:r>
      <w:r>
        <w:rPr>
          <w:rStyle w:val="SourceText"/>
        </w:rPr>
        <w:t>docs/DATASETS.md</w:t>
      </w:r>
      <w:r>
        <w:rPr/>
        <w:t xml:space="preserve">): </w:t>
      </w:r>
      <w:hyperlink r:id="rId8">
        <w:r>
          <w:rPr>
            <w:rStyle w:val="Hyperlink"/>
          </w:rPr>
          <w:t>https://datos.cali.gov.co</w:t>
        </w:r>
      </w:hyperlink>
      <w:r>
        <w:rPr/>
        <w:t xml:space="preserve"> · </w:t>
      </w:r>
      <w:hyperlink r:id="rId9">
        <w:r>
          <w:rPr>
            <w:rStyle w:val="Hyperlink"/>
          </w:rPr>
          <w:t>https://idesc.cali.gov.co</w:t>
        </w:r>
      </w:hyperlink>
      <w:r>
        <w:rPr/>
        <w:t xml:space="preserve"> (WFS ws-idesc.cali.gov.co) · </w:t>
      </w:r>
      <w:hyperlink r:id="rId10">
        <w:r>
          <w:rPr>
            <w:rStyle w:val="Hyperlink"/>
          </w:rPr>
          <w:t>https://rapidmapping.emergency.copernicus.eu/EMSR916/</w:t>
        </w:r>
      </w:hyperlink>
      <w:r>
        <w:rPr/>
        <w:t xml:space="preserve"> · </w:t>
      </w:r>
      <w:hyperlink r:id="rId11">
        <w:r>
          <w:rPr>
            <w:rStyle w:val="Hyperlink"/>
          </w:rPr>
          <w:t>https://sertit.unistra.fr/cartographie-rapide/cartoaction/845/</w:t>
        </w:r>
      </w:hyperlink>
      <w:r>
        <w:rPr/>
        <w:t xml:space="preserve"> · </w:t>
      </w:r>
      <w:hyperlink r:id="rId12">
        <w:r>
          <w:rPr>
            <w:rStyle w:val="Hyperlink"/>
          </w:rPr>
          <w:t>https://datosdelterremoto.org/municipio/cali/</w:t>
        </w:r>
      </w:hyperlink>
      <w:r>
        <w:rPr/>
        <w:t xml:space="preserve"> · </w:t>
      </w:r>
      <w:hyperlink r:id="rId13">
        <w:r>
          <w:rPr>
            <w:rStyle w:val="Hyperlink"/>
          </w:rPr>
          <w:t>https://github.com/18orkidea/monitor-terremoto-colombia</w:t>
        </w:r>
      </w:hyperlink>
      <w:r>
        <w:rPr/>
        <w:t xml:space="preserve"> · </w:t>
      </w:r>
      <w:hyperlink r:id="rId14">
        <w:r>
          <w:rPr>
            <w:rStyle w:val="Hyperlink"/>
          </w:rPr>
          <w:t>https://rud.gestiondelriesgo.gov.co/</w:t>
        </w:r>
      </w:hyperlink>
      <w:r>
        <w:rPr/>
        <w:t xml:space="preserve"> · </w:t>
      </w:r>
      <w:hyperlink r:id="rId15">
        <w:r>
          <w:rPr>
            <w:rStyle w:val="Hyperlink"/>
          </w:rPr>
          <w:t>https://portal-hidroclimatologico.cvc.gov.co/</w:t>
        </w:r>
      </w:hyperlink>
      <w:r>
        <w:rPr/>
        <w:t xml:space="preserve"> · </w:t>
      </w:r>
      <w:hyperlink r:id="rId16">
        <w:r>
          <w:rPr>
            <w:rStyle w:val="Hyperlink"/>
          </w:rPr>
          <w:t>https://www.datos.gov.co/resource/bdmn-sqnh</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17">
        <w:r>
          <w:rPr>
            <w:rStyle w:val="Hyperlink"/>
          </w:rPr>
          <w:t>https://www.elpais.com.co/cali/alcaldia-de-cali-entrega-balance-de-gestion-tras-el-sismo-mas-de-3400-edificaciones-evaluadas-y-45000-familias-damnificadas-2338.html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18">
        <w:r>
          <w:rPr>
            <w:rStyle w:val="Hyperlink"/>
          </w:rPr>
          <w:t>https://www.elpais.com.co/cali/cali-antes-y-despues-del-terremoto-asi-cambiaron-los-sectores-mas-afectados-desgarradoras-imagenes-1636.html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r>
        <w:rPr/>
        <w:t xml:space="preserve">Portafolio de Retos HSC, Alcaldía de Cali v2.0 (PDF, Sesión 1) </w:t>
      </w:r>
    </w:p>
    <w:p>
      <w:pPr>
        <w:pStyle w:val="BodyText"/>
        <w:numPr>
          <w:ilvl w:val="0"/>
          <w:numId w:val="18"/>
        </w:numPr>
        <w:tabs>
          <w:tab w:val="clear" w:pos="1134"/>
          <w:tab w:val="left" w:pos="709" w:leader="none"/>
        </w:tabs>
        <w:bidi w:val="0"/>
        <w:spacing w:before="0" w:after="0"/>
        <w:ind w:hanging="283" w:start="709"/>
        <w:jc w:val="start"/>
        <w:rPr/>
      </w:pPr>
      <w:r>
        <w:rPr/>
        <w:t xml:space="preserve">Guía de uso de los artefactos, Sesiones 2 y 3 (DOCX) y presentación de la Sesión 2 (PPTX) </w:t>
      </w:r>
    </w:p>
    <w:p>
      <w:pPr>
        <w:pStyle w:val="BodyText"/>
        <w:numPr>
          <w:ilvl w:val="0"/>
          <w:numId w:val="18"/>
        </w:numPr>
        <w:tabs>
          <w:tab w:val="clear" w:pos="1134"/>
          <w:tab w:val="left" w:pos="709" w:leader="none"/>
        </w:tabs>
        <w:bidi w:val="0"/>
        <w:spacing w:before="0" w:after="0"/>
        <w:ind w:hanging="283" w:start="709"/>
        <w:jc w:val="start"/>
        <w:rPr/>
      </w:pPr>
      <w:hyperlink r:id="rId19">
        <w:r>
          <w:rPr>
            <w:rStyle w:val="Hyperlink"/>
          </w:rPr>
          <w:t>https://es.wikipedia.org/wiki/Terremoto_de_Colombia_de_2026</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0">
        <w:r>
          <w:rPr>
            <w:rStyle w:val="Hyperlink"/>
          </w:rPr>
          <w:t>https://www.infobae.com/colombia/2026/09/25/ocha-alerta-vacios-de-informacion-y-atencion-tras-terremoto-que-deja-486917-afectados-en-colombia/</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1">
        <w:r>
          <w:rPr>
            <w:rStyle w:val="Hyperlink"/>
          </w:rPr>
          <w:t>https://datosdelterremoto.org/municipio/cali/</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2">
        <w:r>
          <w:rPr>
            <w:rStyle w:val="Hyperlink"/>
          </w:rPr>
          <w:t>https://www.defensoria.gov.co/web/guest/-/defensoria-pide-atencion-urgente-para-336-familias-en-albergues-de-cali</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3">
        <w:r>
          <w:rPr>
            <w:rStyle w:val="Hyperlink"/>
          </w:rPr>
          <w:t>https://www.vanguardia.com/colombia/2026/09/13/el-terremoto-no-termina-la-vida-en-los-albergues-de-cali/</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4">
        <w:r>
          <w:rPr>
            <w:rStyle w:val="Hyperlink"/>
          </w:rPr>
          <w:t>https://www.elpais.com.co/cali/terremoto-en-cali-estos-son-los-lugares-habilitados-para-recibir-a-los-damnificados-1038.html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5">
        <w:r>
          <w:rPr>
            <w:rStyle w:val="Hyperlink"/>
          </w:rPr>
          <w:t>https://www.elnuevosiglo.com.co/nacion/cali-abren-albergue-en-cancha-de-hockey-y-evaluan-subsidios-para-damnificados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6">
        <w:r>
          <w:rPr>
            <w:rStyle w:val="Hyperlink"/>
          </w:rPr>
          <w:t>https://www.semana.com/nacion/cali/articulo/tras-el-terremoto-cali-informa-cuales-escenarios-deportivos-vuelven-a-estar-al-servicio-de-los-atletas-desde-este-31-de-agosto/202628/</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7">
        <w:r>
          <w:rPr>
            <w:rStyle w:val="Hyperlink"/>
          </w:rPr>
          <w:t>https://occidente.co/regionales/valle-del-cauca/36-escenarios-deportivos-estan-afectados/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8">
        <w:r>
          <w:rPr>
            <w:rStyle w:val="Hyperlink"/>
          </w:rPr>
          <w:t>https://www.icbf.gov.co/noticias/el-icbf-mantiene-atencion-ininterrumpida-en-territorios-afectados-por-el-terremoto</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29">
        <w:r>
          <w:rPr>
            <w:rStyle w:val="Hyperlink"/>
          </w:rPr>
          <w:t>https://cwmas.com.co/cali/2026/02/24/rio-cauca-en-alerta-naranja-aumenta-el-caudal-en-el-oriente-de-cali/</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0">
        <w:r>
          <w:rPr>
            <w:rStyle w:val="Hyperlink"/>
          </w:rPr>
          <w:t>https://www.cali.gov.co/boletines/publicaciones/191712/el-jarillon-del-rio-cauca-no-es-una-via-se-limitara-el-acceso-y-transito-de-vehiculos-sobre-su-estructura/</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1">
        <w:r>
          <w:rPr>
            <w:rStyle w:val="Hyperlink"/>
          </w:rPr>
          <w:t>https://www.fondoadaptacion.gov.co/index.php/component/sppagebuilder/?view=page&amp;id=168</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2">
        <w:r>
          <w:rPr>
            <w:rStyle w:val="Hyperlink"/>
          </w:rPr>
          <w:t>https://www.lafm.com.co/actualidad/medidas-aumento-incendios-forestales-cali-fenomeno-nino-405401</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3">
        <w:r>
          <w:rPr>
            <w:rStyle w:val="Hyperlink"/>
          </w:rPr>
          <w:t>https://ciudadregion.com/regiones/valle-del-cauca/cali/pico-fenomeno-nino-noviembre-valle-cauca-niveles-embalses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4">
        <w:r>
          <w:rPr>
            <w:rStyle w:val="Hyperlink"/>
          </w:rPr>
          <w:t>https://ciudadregion.com/regiones/valle-del-cauca/cali/sequia-valle-del-cauca-niveles-represas-incendios-forestales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5">
        <w:r>
          <w:rPr>
            <w:rStyle w:val="Hyperlink"/>
          </w:rPr>
          <w:t>https://www.cali.gov.co/gobierno/publicaciones/193607/terremoto-de-cali-repositorio-oficial-de-informacion/</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6">
        <w:r>
          <w:rPr>
            <w:rStyle w:val="Hyperlink"/>
          </w:rPr>
          <w:t>https://www.unocha.org/publications/report/colombia/colombia-prediccion-impactos-por-desarrollo-de-el-fenomeno-del-nino-2026-2027-19-de-junio-de-2026</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7">
        <w:r>
          <w:rPr>
            <w:rStyle w:val="Hyperlink"/>
          </w:rPr>
          <w:t>https://www.cdp.net/en/insights/yokohama</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8">
        <w:r>
          <w:rPr>
            <w:rStyle w:val="Hyperlink"/>
          </w:rPr>
          <w:t>https://adaptation-platform.nies.go.jp/en/db/measures/report_043.html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39">
        <w:r>
          <w:rPr>
            <w:rStyle w:val="Hyperlink"/>
          </w:rPr>
          <w:t>https://www.tokyo-park.or.jp/special/bousai/english/sisetsu.html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0">
        <w:r>
          <w:rPr>
            <w:rStyle w:val="Hyperlink"/>
          </w:rPr>
          <w:t>https://www.smithsonianmag.com/smart-news/tokyo-has-built-disaster-preparedness-fabric-city-180952366/</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1">
        <w:r>
          <w:rPr>
            <w:rStyle w:val="Hyperlink"/>
          </w:rPr>
          <w:t>https://www.kubota.com/corporatehistory/ourchallenges/japan-water-03/2/</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2">
        <w:r>
          <w:rPr>
            <w:rStyle w:val="Hyperlink"/>
          </w:rPr>
          <w:t>https://reliefweb.int/report/nepal/updated-report-83-open-spaces-identified-humanitarian-purposes-kathmandu-valley</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3">
        <w:r>
          <w:rPr>
            <w:rStyle w:val="Hyperlink"/>
          </w:rPr>
          <w:t>https://nepalitimes.com/kathmandu-loses-its-open-spaces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4">
        <w:r>
          <w:rPr>
            <w:rStyle w:val="Hyperlink"/>
          </w:rPr>
          <w:t>https://www.turkeyrecap.com/p/out-of-space-lack-of-safe-zones-deepens</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5">
        <w:r>
          <w:rPr>
            <w:rStyle w:val="Hyperlink"/>
          </w:rPr>
          <w:t>https://www.elimparcial.com/mexico/2026/09/19/simulacro-nacional-2026-303-altavoces-de-cdmx-no-sonaron-segun-c5-asi-puedes-reportar-una-falla/</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6">
        <w:r>
          <w:rPr>
            <w:rStyle w:val="Hyperlink"/>
          </w:rPr>
          <w:t>https://www.urbanisten.nl/work/benthemplein</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7">
        <w:r>
          <w:rPr>
            <w:rStyle w:val="Hyperlink"/>
          </w:rPr>
          <w:t>https://www.dutchwatersector.com/news/new-innovative-water-square-combines-leisure-and-storm-water-storage-in-rotterdam-the</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8">
        <w:r>
          <w:rPr>
            <w:rStyle w:val="Hyperlink"/>
          </w:rPr>
          <w:t>https://stateofgreen.com/en/solutions/125669/</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49">
        <w:r>
          <w:rPr>
            <w:rStyle w:val="Hyperlink"/>
          </w:rPr>
          <w:t>https://toposmagazine.com/enghaveparken-copenhagen-denmark/</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0">
        <w:r>
          <w:rPr>
            <w:rStyle w:val="Hyperlink"/>
          </w:rPr>
          <w:t>https://www.preventionweb.net/news/chinas-sponge-cities-aim-re-use-70-rainwater-heres-how</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1">
        <w:r>
          <w:rPr>
            <w:rStyle w:val="Hyperlink"/>
          </w:rPr>
          <w:t>https://de.wikipedia.org/wiki/Trinkwassernotbrunnen</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2">
        <w:r>
          <w:rPr>
            <w:rStyle w:val="Hyperlink"/>
          </w:rPr>
          <w:t>https://www.bbk.bund.de/DE/Themen/Kritische-Infrastrukturen/Sektoren-Branchen/Wasser/Wassersicherstellung/wassersicherstellung_node.html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3">
        <w:r>
          <w:rPr>
            <w:rStyle w:val="Hyperlink"/>
          </w:rPr>
          <w:t>https://iol.co.za/capeargus/news/watercrisis-city-of-cape-town-unveils-scant-dayzero-plans-12989659</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4">
        <w:r>
          <w:rPr>
            <w:rStyle w:val="Hyperlink"/>
          </w:rPr>
          <w:t>https://siwi.org/news/how-cape-town-saved-itself-from-day-zero</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5">
        <w:r>
          <w:rPr>
            <w:rStyle w:val="Hyperlink"/>
          </w:rPr>
          <w:t>https://phys.org/news/2024-02-barcelona-restrictions-drought-emergency-declared.html</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hyperlink r:id="rId56">
        <w:r>
          <w:rPr>
            <w:rStyle w:val="Hyperlink"/>
          </w:rPr>
          <w:t>https://ajuntament.barcelona.cat/urbanisme-accio-climatica-mobilitat-pla-barris-serveis-urbans/en/aigua/la-sequera</w:t>
        </w:r>
      </w:hyperlink>
      <w:r>
        <w:rPr/>
        <w:t xml:space="preserve"> </w:t>
      </w:r>
    </w:p>
    <w:p>
      <w:pPr>
        <w:pStyle w:val="BodyText"/>
        <w:numPr>
          <w:ilvl w:val="0"/>
          <w:numId w:val="18"/>
        </w:numPr>
        <w:tabs>
          <w:tab w:val="clear" w:pos="1134"/>
          <w:tab w:val="left" w:pos="709" w:leader="none"/>
        </w:tabs>
        <w:bidi w:val="0"/>
        <w:spacing w:before="0" w:after="0"/>
        <w:ind w:hanging="283" w:start="709"/>
        <w:jc w:val="start"/>
        <w:rPr/>
      </w:pPr>
      <w:r>
        <w:rPr/>
        <w:t xml:space="preserve">docs/cali_lista.pdf (propuesta de Pablo, desde su fork) </w:t>
      </w:r>
    </w:p>
    <w:p>
      <w:pPr>
        <w:pStyle w:val="BodyText"/>
        <w:numPr>
          <w:ilvl w:val="0"/>
          <w:numId w:val="18"/>
        </w:numPr>
        <w:tabs>
          <w:tab w:val="clear" w:pos="1134"/>
          <w:tab w:val="left" w:pos="709" w:leader="none"/>
        </w:tabs>
        <w:bidi w:val="0"/>
        <w:spacing w:before="0" w:after="0"/>
        <w:ind w:hanging="283" w:start="709"/>
        <w:jc w:val="start"/>
        <w:rPr/>
      </w:pPr>
      <w:hyperlink r:id="rId57">
        <w:r>
          <w:rPr>
            <w:rStyle w:val="Hyperlink"/>
          </w:rPr>
          <w:t>https://normograma.crcom.gov.co/crc/compilacion/docs/resolucion_ane_0105_2020.htm</w:t>
        </w:r>
      </w:hyperlink>
      <w:r>
        <w:rPr/>
        <w:t xml:space="preserve"> </w:t>
      </w:r>
    </w:p>
    <w:p>
      <w:pPr>
        <w:pStyle w:val="BodyText"/>
        <w:numPr>
          <w:ilvl w:val="0"/>
          <w:numId w:val="18"/>
        </w:numPr>
        <w:tabs>
          <w:tab w:val="clear" w:pos="1134"/>
          <w:tab w:val="left" w:pos="709" w:leader="none"/>
        </w:tabs>
        <w:bidi w:val="0"/>
        <w:ind w:hanging="283" w:start="709"/>
        <w:jc w:val="start"/>
        <w:rPr/>
      </w:pPr>
      <w:hyperlink r:id="rId58">
        <w:r>
          <w:rPr>
            <w:rStyle w:val="Hyperlink"/>
          </w:rPr>
          <w:t>https://www.researchgate.net/publication/45637651_Hydrogen_Chloride_in_Fires</w:t>
        </w:r>
      </w:hyperlink>
      <w:r>
        <w:rPr/>
        <w:t xml:space="preserve"> </w:t>
      </w:r>
    </w:p>
    <w:p>
      <w:pPr>
        <w:pStyle w:val="Heading2"/>
        <w:bidi w:val="0"/>
        <w:jc w:val="start"/>
        <w:rPr/>
      </w:pPr>
      <w:r>
        <w:rPr/>
        <w:t>9. Revisión de demo y comparación solicitada (8 de octubre de 2026)</w:t>
      </w:r>
    </w:p>
    <w:p>
      <w:pPr>
        <w:pStyle w:val="BodyText"/>
        <w:numPr>
          <w:ilvl w:val="0"/>
          <w:numId w:val="19"/>
        </w:numPr>
        <w:tabs>
          <w:tab w:val="clear" w:pos="1134"/>
          <w:tab w:val="left" w:pos="709" w:leader="none"/>
        </w:tabs>
        <w:bidi w:val="0"/>
        <w:spacing w:before="0" w:after="0"/>
        <w:ind w:hanging="283" w:start="709"/>
        <w:jc w:val="start"/>
        <w:rPr/>
      </w:pPr>
      <w:r>
        <w:rPr/>
        <w:t xml:space="preserve">Se ejecutó la versión compilada </w:t>
      </w:r>
      <w:r>
        <w:rPr>
          <w:rStyle w:val="SourceText"/>
        </w:rPr>
        <w:t>frontend/dist</w:t>
      </w:r>
      <w:r>
        <w:rPr/>
        <w:t xml:space="preserve"> en </w:t>
      </w:r>
      <w:hyperlink r:id="rId59">
        <w:r>
          <w:rPr>
            <w:rStyle w:val="Hyperlink"/>
          </w:rPr>
          <w:t>http://127.0.0.1:4173</w:t>
        </w:r>
      </w:hyperlink>
      <w:r>
        <w:rPr/>
        <w:t xml:space="preserve"> y se recorrieron mapa, ficha EPE_02, intervención, prevención, refugio y kit. Se observaron 1.970 polígonos y 1.021 registros deportivos, no lugares únicos; el manifiesto registra 0 disponibilidades confirmadas. </w:t>
      </w:r>
    </w:p>
    <w:p>
      <w:pPr>
        <w:pStyle w:val="BodyText"/>
        <w:numPr>
          <w:ilvl w:val="0"/>
          <w:numId w:val="19"/>
        </w:numPr>
        <w:tabs>
          <w:tab w:val="clear" w:pos="1134"/>
          <w:tab w:val="left" w:pos="709" w:leader="none"/>
        </w:tabs>
        <w:bidi w:val="0"/>
        <w:spacing w:before="0" w:after="0"/>
        <w:ind w:hanging="283" w:start="709"/>
        <w:jc w:val="start"/>
        <w:rPr/>
      </w:pPr>
      <w:r>
        <w:rPr/>
        <w:t xml:space="preserve">La preselección de intervención usa exclusión por cruces y distancia recta; población modifica necesidades, no orden. Existencias sin datos: brechas no calculables. Responsables propuestos y seguimiento local, sin comunicaciones enviadas. Refugio y recuperación son conceptuales. </w:t>
      </w:r>
    </w:p>
    <w:p>
      <w:pPr>
        <w:pStyle w:val="BodyText"/>
        <w:numPr>
          <w:ilvl w:val="0"/>
          <w:numId w:val="19"/>
        </w:numPr>
        <w:tabs>
          <w:tab w:val="clear" w:pos="1134"/>
          <w:tab w:val="left" w:pos="709" w:leader="none"/>
        </w:tabs>
        <w:bidi w:val="0"/>
        <w:spacing w:before="0" w:after="0"/>
        <w:ind w:hanging="283" w:start="709"/>
        <w:jc w:val="start"/>
        <w:rPr/>
      </w:pPr>
      <w:r>
        <w:rPr/>
        <w:t xml:space="preserve">Pendientes detectados: explicar diferencia de huella EPE_02 entre ficha (5.292 m²) e intervención (5.315,309 m²); recuperar fuente y configuración de build (no se encontraron en esta copia); actualizar documentación antigua de No-Code/PVC conforme al alcance actual antes de presentar. No se marcan como resueltas validaciones institucionales. </w:t>
      </w:r>
    </w:p>
    <w:p>
      <w:pPr>
        <w:pStyle w:val="BodyText"/>
        <w:numPr>
          <w:ilvl w:val="0"/>
          <w:numId w:val="19"/>
        </w:numPr>
        <w:tabs>
          <w:tab w:val="clear" w:pos="1134"/>
          <w:tab w:val="left" w:pos="709" w:leader="none"/>
        </w:tabs>
        <w:bidi w:val="0"/>
        <w:spacing w:before="0" w:after="0"/>
        <w:ind w:hanging="283" w:start="709"/>
        <w:jc w:val="start"/>
        <w:rPr/>
      </w:pPr>
      <w:r>
        <w:rPr/>
        <w:t xml:space="preserve">La web solicitada </w:t>
      </w:r>
      <w:r>
        <w:fldChar w:fldCharType="begin"/>
      </w:r>
      <w:r>
        <w:rPr>
          <w:rStyle w:val="Hyperlink"/>
        </w:rPr>
        <w:instrText xml:space="preserve"> HYPERLINK "https://certeza.app/en" \l "solutions"</w:instrText>
      </w:r>
      <w:r>
        <w:rPr>
          <w:rStyle w:val="Hyperlink"/>
        </w:rPr>
        <w:fldChar w:fldCharType="separate"/>
      </w:r>
      <w:r>
        <w:rPr>
          <w:rStyle w:val="Hyperlink"/>
        </w:rPr>
        <w:t>https://certeza.app/en#solutions</w:t>
      </w:r>
      <w:r>
        <w:rPr>
          <w:rStyle w:val="Hyperlink"/>
        </w:rPr>
        <w:fldChar w:fldCharType="end"/>
      </w:r>
      <w:r>
        <w:rPr/>
        <w:t xml:space="preserve"> y </w:t>
      </w:r>
      <w:hyperlink r:id="rId60">
        <w:r>
          <w:rPr>
            <w:rStyle w:val="Hyperlink"/>
          </w:rPr>
          <w:t>https://certeza.app/en/debt-collection</w:t>
        </w:r>
      </w:hyperlink>
      <w:r>
        <w:rPr/>
        <w:t xml:space="preserve"> presenta cobranza empresarial; no se acreditó su identidad con la propuesta del equipo Certeza mencionada en la sección 3. Ventaja defendible de Territorio Preparado: pertinencia para Cali Activa y funciones territoriales demostradas, no superioridad universal. Consultadas el 8 de octubre de 2026. </w:t>
      </w:r>
    </w:p>
    <w:p>
      <w:pPr>
        <w:pStyle w:val="BodyText"/>
        <w:numPr>
          <w:ilvl w:val="0"/>
          <w:numId w:val="19"/>
        </w:numPr>
        <w:tabs>
          <w:tab w:val="clear" w:pos="1134"/>
          <w:tab w:val="left" w:pos="709" w:leader="none"/>
        </w:tabs>
        <w:bidi w:val="0"/>
        <w:ind w:hanging="283" w:start="709"/>
        <w:jc w:val="start"/>
        <w:rPr/>
      </w:pPr>
      <w:r>
        <w:rPr/>
        <w:t xml:space="preserve">Entregable único solicitado: </w:t>
      </w:r>
      <w:r>
        <w:rPr>
          <w:rStyle w:val="SourceText"/>
        </w:rPr>
        <w:t>/home/ijoan/proyectos/Comparativa_Territorio_Preparado_vs_Certeza.docx</w:t>
      </w:r>
      <w:r>
        <w:rPr/>
        <w:t xml:space="preserve">, con matriz, pros/contras, evidencia, límites y argumento de presentación. </w:t>
      </w:r>
    </w:p>
    <w:p>
      <w:pPr>
        <w:pStyle w:val="Heading2"/>
        <w:bidi w:val="0"/>
        <w:jc w:val="start"/>
        <w:rPr/>
      </w:pPr>
      <w:r>
        <w:rPr/>
        <w:t>10. Corrección de cobertura del mapa (8 de octubre de 2026)</w:t>
      </w:r>
    </w:p>
    <w:p>
      <w:pPr>
        <w:pStyle w:val="BodyText"/>
        <w:numPr>
          <w:ilvl w:val="0"/>
          <w:numId w:val="20"/>
        </w:numPr>
        <w:tabs>
          <w:tab w:val="clear" w:pos="1134"/>
          <w:tab w:val="left" w:pos="709" w:leader="none"/>
        </w:tabs>
        <w:bidi w:val="0"/>
        <w:spacing w:before="0" w:after="0"/>
        <w:ind w:hanging="283" w:start="709"/>
        <w:jc w:val="start"/>
        <w:rPr/>
      </w:pPr>
      <w:r>
        <w:rPr/>
        <w:t xml:space="preserve">A petición del usuario se revisó y corrigió la navegación territorial. El selector ahora incluye los 342 barrios/sectores oficiales, aunque no tengan espacios en el inventario. Antes se derivaba solo de los espacios y omitía sectores como Chipichape, Sucre y Villa del Lago. </w:t>
      </w:r>
    </w:p>
    <w:p>
      <w:pPr>
        <w:pStyle w:val="BodyText"/>
        <w:numPr>
          <w:ilvl w:val="0"/>
          <w:numId w:val="20"/>
        </w:numPr>
        <w:tabs>
          <w:tab w:val="clear" w:pos="1134"/>
          <w:tab w:val="left" w:pos="709" w:leader="none"/>
        </w:tabs>
        <w:bidi w:val="0"/>
        <w:spacing w:before="0" w:after="0"/>
        <w:ind w:hanging="283" w:start="709"/>
        <w:jc w:val="start"/>
        <w:rPr/>
      </w:pPr>
      <w:r>
        <w:rPr/>
        <w:t xml:space="preserve">El mapa encuadra límites del sector en vez de solo coordenadas de espacios; mantiene exploración de calles en sectores sin registros. Límites y amenazas dejan de interceptar clics. Se amplía zoom de calle con límite nativo explícito y mensaje de carga recuperable. </w:t>
      </w:r>
    </w:p>
    <w:p>
      <w:pPr>
        <w:pStyle w:val="BodyText"/>
        <w:numPr>
          <w:ilvl w:val="0"/>
          <w:numId w:val="20"/>
        </w:numPr>
        <w:tabs>
          <w:tab w:val="clear" w:pos="1134"/>
          <w:tab w:val="left" w:pos="709" w:leader="none"/>
        </w:tabs>
        <w:bidi w:val="0"/>
        <w:spacing w:before="0" w:after="0"/>
        <w:ind w:hanging="283" w:start="709"/>
        <w:jc w:val="start"/>
        <w:rPr/>
      </w:pPr>
      <w:r>
        <w:rPr/>
        <w:t xml:space="preserve">Verificación actual de los WFS del manifiesto: espacio público, escenarios deportivos y cinco capas de amenaza descargados completos y sin cambios de geometría/propiedades frente a originales. Límites de comunas y barrios no verificables en esta consulta; conservados con fecha de captura original. No se presentan como actualizados. </w:t>
      </w:r>
    </w:p>
    <w:p>
      <w:pPr>
        <w:pStyle w:val="BodyText"/>
        <w:numPr>
          <w:ilvl w:val="0"/>
          <w:numId w:val="20"/>
        </w:numPr>
        <w:tabs>
          <w:tab w:val="clear" w:pos="1134"/>
          <w:tab w:val="left" w:pos="709" w:leader="none"/>
        </w:tabs>
        <w:bidi w:val="0"/>
        <w:spacing w:before="0" w:after="0"/>
        <w:ind w:hanging="283" w:start="709"/>
        <w:jc w:val="start"/>
        <w:rPr/>
      </w:pPr>
      <w:r>
        <w:rPr/>
        <w:t xml:space="preserve">Script reproducible: </w:t>
      </w:r>
      <w:r>
        <w:rPr>
          <w:rStyle w:val="SourceText"/>
        </w:rPr>
        <w:t>frontend/scripts/improve_map.py</w:t>
      </w:r>
      <w:r>
        <w:rPr/>
        <w:t xml:space="preserve">; verificación: </w:t>
      </w:r>
      <w:r>
        <w:rPr>
          <w:rStyle w:val="SourceText"/>
        </w:rPr>
        <w:t>frontend/scripts/verify_map_sources.py</w:t>
      </w:r>
      <w:r>
        <w:rPr/>
        <w:t xml:space="preserve">; estado público: </w:t>
      </w:r>
      <w:r>
        <w:rPr>
          <w:rStyle w:val="SourceText"/>
        </w:rPr>
        <w:t>frontend/dist/data/current-source-checks.json</w:t>
      </w:r>
      <w:r>
        <w:rPr/>
        <w:t xml:space="preserve">. Fuentes: las URL WFS del manifiesto y </w:t>
      </w:r>
      <w:hyperlink r:id="rId61">
        <w:r>
          <w:rPr>
            <w:rStyle w:val="Hyperlink"/>
          </w:rPr>
          <w:t>https://tile.openstreetmap.org/{z}/{x}/{y}.png</w:t>
        </w:r>
      </w:hyperlink>
      <w:r>
        <w:rPr/>
        <w:t xml:space="preserve"> para calles (atribución OpenStreetMap conservada). </w:t>
      </w:r>
    </w:p>
    <w:p>
      <w:pPr>
        <w:pStyle w:val="BodyText"/>
        <w:numPr>
          <w:ilvl w:val="0"/>
          <w:numId w:val="20"/>
        </w:numPr>
        <w:tabs>
          <w:tab w:val="clear" w:pos="1134"/>
          <w:tab w:val="left" w:pos="709" w:leader="none"/>
        </w:tabs>
        <w:bidi w:val="0"/>
        <w:ind w:hanging="283" w:start="709"/>
        <w:jc w:val="start"/>
        <w:rPr/>
      </w:pPr>
      <w:r>
        <w:rPr/>
        <w:t xml:space="preserve">La copia contiene solo dist: se conserva respaldo del bundle y se documenta el parche para recuperar el código fuente posteriormente. No se añaden datos personales ni se certifica disponibilidad, riesgo integral, seguridad estructural o rutas seguras. La decisión sigue siendo de la autoridad. </w:t>
      </w:r>
    </w:p>
    <w:p>
      <w:pPr>
        <w:pStyle w:val="Heading2"/>
        <w:bidi w:val="0"/>
        <w:jc w:val="start"/>
        <w:rPr/>
      </w:pPr>
      <w:r>
        <w:rPr/>
        <w:t>11. Pitch de dos minutos y ciclo SICC (8 de octubre de 2026)</w:t>
      </w:r>
    </w:p>
    <w:p>
      <w:pPr>
        <w:pStyle w:val="BodyText"/>
        <w:numPr>
          <w:ilvl w:val="0"/>
          <w:numId w:val="21"/>
        </w:numPr>
        <w:tabs>
          <w:tab w:val="clear" w:pos="1134"/>
          <w:tab w:val="left" w:pos="709" w:leader="none"/>
        </w:tabs>
        <w:bidi w:val="0"/>
        <w:spacing w:before="0" w:after="0"/>
        <w:ind w:hanging="283" w:start="709"/>
        <w:jc w:val="start"/>
        <w:rPr/>
      </w:pPr>
      <w:r>
        <w:rPr/>
        <w:t xml:space="preserve">Se incorporó el diagrama aportado como cuatro etapas: SICC (Sistema Integral de Cultura Ciudadana), vigilancia y preparación, respuesta y recuperación; cultura ciudadana y aprendizaje atraviesan el ciclo. </w:t>
      </w:r>
    </w:p>
    <w:p>
      <w:pPr>
        <w:pStyle w:val="BodyText"/>
        <w:numPr>
          <w:ilvl w:val="0"/>
          <w:numId w:val="21"/>
        </w:numPr>
        <w:tabs>
          <w:tab w:val="clear" w:pos="1134"/>
          <w:tab w:val="left" w:pos="709" w:leader="none"/>
        </w:tabs>
        <w:bidi w:val="0"/>
        <w:spacing w:before="0" w:after="0"/>
        <w:ind w:hanging="283" w:start="709"/>
        <w:jc w:val="start"/>
        <w:rPr/>
      </w:pPr>
      <w:r>
        <w:rPr/>
        <w:t xml:space="preserve">Encuesta aportada en la raíz: 67 registros completos, 12 preguntas sin vacíos. 51/67 (76,1 %) no conocen simultáneamente destino y ruta por inundación; 39/67 (58,2 %) no han practicado la ruta de evacuación de edificio/trabajo. Hallazgos exploratorios: sin ficha de muestreo, localización ni control de identidad, no representan estadísticamente a Cali ni prueban eficacia del producto. Solo se reproducen agregados; no se añaden datos individuales al repositorio. </w:t>
      </w:r>
    </w:p>
    <w:p>
      <w:pPr>
        <w:pStyle w:val="BodyText"/>
        <w:numPr>
          <w:ilvl w:val="0"/>
          <w:numId w:val="21"/>
        </w:numPr>
        <w:tabs>
          <w:tab w:val="clear" w:pos="1134"/>
          <w:tab w:val="left" w:pos="709" w:leader="none"/>
        </w:tabs>
        <w:bidi w:val="0"/>
        <w:spacing w:before="0" w:after="0"/>
        <w:ind w:hanging="283" w:start="709"/>
        <w:jc w:val="start"/>
        <w:rPr/>
      </w:pPr>
      <w:r>
        <w:rPr/>
        <w:t xml:space="preserve">Presentación de seis diapositivas para dos minutos, guion de 269 palabras y tres diapositivas de respaldo. Archivos PPTX, PDF y Word en </w:t>
      </w:r>
      <w:r>
        <w:rPr>
          <w:rStyle w:val="SourceText"/>
        </w:rPr>
        <w:t>/home/ijoan/proyectos/</w:t>
      </w:r>
      <w:r>
        <w:rPr/>
        <w:t xml:space="preserve">, prefijos </w:t>
      </w:r>
      <w:r>
        <w:rPr>
          <w:rStyle w:val="SourceText"/>
        </w:rPr>
        <w:t>Pitch_Territorio_Preparado_SICC_2_minutos</w:t>
      </w:r>
      <w:r>
        <w:rPr/>
        <w:t xml:space="preserve"> y </w:t>
      </w:r>
      <w:r>
        <w:rPr>
          <w:rStyle w:val="SourceText"/>
        </w:rPr>
        <w:t>Guion_Pitch_Territorio_Preparado_SICC_2_minutos</w:t>
      </w:r>
      <w:r>
        <w:rPr/>
        <w:t xml:space="preserve">. Fuente reproducible en </w:t>
      </w:r>
      <w:r>
        <w:rPr>
          <w:rStyle w:val="SourceText"/>
        </w:rPr>
        <w:t>entregables/pitch-sicc/crear_pitch.py</w:t>
      </w:r>
      <w:r>
        <w:rPr/>
        <w:t xml:space="preserve">. </w:t>
      </w:r>
    </w:p>
    <w:p>
      <w:pPr>
        <w:pStyle w:val="BodyText"/>
        <w:numPr>
          <w:ilvl w:val="0"/>
          <w:numId w:val="21"/>
        </w:numPr>
        <w:tabs>
          <w:tab w:val="clear" w:pos="1134"/>
          <w:tab w:val="left" w:pos="709" w:leader="none"/>
        </w:tabs>
        <w:bidi w:val="0"/>
        <w:spacing w:before="0" w:after="0"/>
        <w:ind w:hanging="283" w:start="709"/>
        <w:jc w:val="start"/>
        <w:rPr/>
      </w:pPr>
      <w:r>
        <w:rPr/>
        <w:t xml:space="preserve">Se distingue prototipo funcional actual de evolución propuesta: IA entrenada/evaluada, vigilancia automatizada 24/7, simulacros instrumentados, registro institucional compartido y recuperación operativa están por desarrollar. No se promete predicción sísmica ni certificación de seguridad. Encuesta no apta para entrenar un predictor de amenazas. </w:t>
      </w:r>
    </w:p>
    <w:p>
      <w:pPr>
        <w:pStyle w:val="BodyText"/>
        <w:numPr>
          <w:ilvl w:val="0"/>
          <w:numId w:val="21"/>
        </w:numPr>
        <w:tabs>
          <w:tab w:val="clear" w:pos="1134"/>
          <w:tab w:val="left" w:pos="709" w:leader="none"/>
        </w:tabs>
        <w:bidi w:val="0"/>
        <w:spacing w:before="0" w:after="0"/>
        <w:ind w:hanging="283" w:start="709"/>
        <w:jc w:val="start"/>
        <w:rPr/>
      </w:pPr>
      <w:r>
        <w:rPr/>
        <w:t xml:space="preserve">Recuperación propuesta: tareas, responsables, evidencias, inspección/reparación, devolución de kits, checklist y acta sujeta a aprobación competente; retroalimentación de la ficha. La demo solo representa el ciclo de forma conceptual. Escala propuesta: piloto local validado → más comunas → otros municipios con fuentes, reglas y autoridades adaptadas; sin resultados de carga o SLA acreditados. </w:t>
      </w:r>
    </w:p>
    <w:p>
      <w:pPr>
        <w:pStyle w:val="BodyText"/>
        <w:numPr>
          <w:ilvl w:val="0"/>
          <w:numId w:val="21"/>
        </w:numPr>
        <w:tabs>
          <w:tab w:val="clear" w:pos="1134"/>
          <w:tab w:val="left" w:pos="709" w:leader="none"/>
        </w:tabs>
        <w:bidi w:val="0"/>
        <w:ind w:hanging="283" w:start="709"/>
        <w:jc w:val="start"/>
        <w:rPr/>
      </w:pPr>
      <w:r>
        <w:rPr/>
        <w:t xml:space="preserve">Fuentes del pitch: CSV e imágenes aportados por el equipo, recorrido de la demo y manifiesto. La fotografía se redibujó como diagrama editable, sin publicar la captura con conversaciones de Teams. </w:t>
      </w:r>
    </w:p>
    <w:p>
      <w:pPr>
        <w:pStyle w:val="Heading2"/>
        <w:bidi w:val="0"/>
        <w:jc w:val="start"/>
        <w:rPr/>
      </w:pPr>
      <w:r>
        <w:rPr/>
        <w:t>12. Laboratorio de escenarios integrado (8 de octubre de 2026)</w:t>
      </w:r>
    </w:p>
    <w:p>
      <w:pPr>
        <w:pStyle w:val="BodyText"/>
        <w:numPr>
          <w:ilvl w:val="0"/>
          <w:numId w:val="22"/>
        </w:numPr>
        <w:tabs>
          <w:tab w:val="clear" w:pos="1134"/>
          <w:tab w:val="left" w:pos="709" w:leader="none"/>
        </w:tabs>
        <w:bidi w:val="0"/>
        <w:spacing w:before="0" w:after="0"/>
        <w:ind w:hanging="283" w:start="709"/>
        <w:jc w:val="start"/>
        <w:rPr/>
      </w:pPr>
      <w:r>
        <w:rPr/>
        <w:t xml:space="preserve">Se analizó el ZIP </w:t>
      </w:r>
      <w:r>
        <w:rPr>
          <w:rStyle w:val="SourceText"/>
        </w:rPr>
        <w:t>simulacion_ciudad_cali.zip</w:t>
      </w:r>
      <w:r>
        <w:rPr/>
        <w:t xml:space="preserve"> aportado en la raíz (HTML autocontenido, LEEME y FUENTES_Y_METODO). Se conservan los originales en </w:t>
      </w:r>
      <w:r>
        <w:rPr>
          <w:rStyle w:val="SourceText"/>
        </w:rPr>
        <w:t>frontend/simulation-source/</w:t>
      </w:r>
      <w:r>
        <w:rPr/>
        <w:t xml:space="preserve">. El ZIP incluye una maqueta comprimida y escenarios, no los scripts fuente Blender/React citados por el autor. </w:t>
      </w:r>
    </w:p>
    <w:p>
      <w:pPr>
        <w:pStyle w:val="BodyText"/>
        <w:numPr>
          <w:ilvl w:val="0"/>
          <w:numId w:val="22"/>
        </w:numPr>
        <w:tabs>
          <w:tab w:val="clear" w:pos="1134"/>
          <w:tab w:val="left" w:pos="709" w:leader="none"/>
        </w:tabs>
        <w:bidi w:val="0"/>
        <w:spacing w:before="0" w:after="0"/>
        <w:ind w:hanging="283" w:start="709"/>
        <w:jc w:val="start"/>
        <w:rPr/>
      </w:pPr>
      <w:r>
        <w:rPr/>
        <w:t xml:space="preserve">Botón </w:t>
      </w:r>
      <w:r>
        <w:rPr>
          <w:b/>
        </w:rPr>
        <w:t>06 Simulación</w:t>
      </w:r>
      <w:r>
        <w:rPr/>
        <w:t xml:space="preserve">, con acceso directo a </w:t>
      </w:r>
      <w:r>
        <w:rPr>
          <w:rStyle w:val="SourceText"/>
        </w:rPr>
        <w:t>/simulation.html</w:t>
      </w:r>
      <w:r>
        <w:rPr/>
        <w:t xml:space="preserve">, con relieve y volumetría por manzana, inundación, sismo e incendio forestal. Conserva las vistas de la app; la integración embebida permite abrir candidatos de acopio en Preparar intervención manteniendo ID y amenaza. Incendio sigue pendiente de validaciones específicas en la preparación. </w:t>
      </w:r>
    </w:p>
    <w:p>
      <w:pPr>
        <w:pStyle w:val="BodyText"/>
        <w:numPr>
          <w:ilvl w:val="0"/>
          <w:numId w:val="22"/>
        </w:numPr>
        <w:tabs>
          <w:tab w:val="clear" w:pos="1134"/>
          <w:tab w:val="left" w:pos="709" w:leader="none"/>
        </w:tabs>
        <w:bidi w:val="0"/>
        <w:spacing w:before="0" w:after="0"/>
        <w:ind w:hanging="283" w:start="709"/>
        <w:jc w:val="start"/>
        <w:rPr/>
      </w:pPr>
      <w:r>
        <w:rPr/>
        <w:t xml:space="preserve">Mejoras: inicio en 0 %, pausa/continuación, reinicio, duración visual, modo sin movimiento, detalle ligero, tres vistas de cámara, captura PNG, comparación de ejercicios en memoria e informe JSON con parámetros, candidatos y límites. La duración visual no es tiempo físico de propagación. </w:t>
      </w:r>
    </w:p>
    <w:p>
      <w:pPr>
        <w:pStyle w:val="BodyText"/>
        <w:numPr>
          <w:ilvl w:val="0"/>
          <w:numId w:val="22"/>
        </w:numPr>
        <w:tabs>
          <w:tab w:val="clear" w:pos="1134"/>
          <w:tab w:val="left" w:pos="709" w:leader="none"/>
        </w:tabs>
        <w:bidi w:val="0"/>
        <w:spacing w:before="0" w:after="0"/>
        <w:ind w:hanging="283" w:start="709"/>
        <w:jc w:val="start"/>
        <w:rPr/>
      </w:pPr>
      <w:r>
        <w:rPr/>
        <w:t xml:space="preserve">Render: capas adaptadas vértice a vértice al relieve, materiales e iluminación ajustados; instancias con bounds/matrices actualizados; se evita redibujar cuando escena/cámara no cambian; pausa al ocultar la vista; aviso de fallo de WebGL/decodificación y limpieza de recursos. Aplicadas skills threejs-r3f, threejs-geometry, threejs-materials y threejs-lighting; el laboratorio mantiene su renderer aislado para no interferir con el Canvas existente. </w:t>
      </w:r>
    </w:p>
    <w:p>
      <w:pPr>
        <w:pStyle w:val="BodyText"/>
        <w:numPr>
          <w:ilvl w:val="0"/>
          <w:numId w:val="22"/>
        </w:numPr>
        <w:tabs>
          <w:tab w:val="clear" w:pos="1134"/>
          <w:tab w:val="left" w:pos="709" w:leader="none"/>
        </w:tabs>
        <w:bidi w:val="0"/>
        <w:spacing w:before="0" w:after="0"/>
        <w:ind w:hanging="283" w:start="709"/>
        <w:jc w:val="start"/>
        <w:rPr/>
      </w:pPr>
      <w:r>
        <w:rPr/>
        <w:t xml:space="preserve">Corrección de incendio: distancia métrica a celdas cuadradas de 60 m sustituye vecindad de buckets; 4.000 casos comparados con cálculo exhaustivo, incluyendo borde y diagonal. Sigue siendo ejercicio con margen supuesto y semilla fija, no modelo calibrado ni distancia segura. </w:t>
      </w:r>
    </w:p>
    <w:p>
      <w:pPr>
        <w:pStyle w:val="BodyText"/>
        <w:numPr>
          <w:ilvl w:val="0"/>
          <w:numId w:val="22"/>
        </w:numPr>
        <w:tabs>
          <w:tab w:val="clear" w:pos="1134"/>
          <w:tab w:val="left" w:pos="709" w:leader="none"/>
        </w:tabs>
        <w:bidi w:val="0"/>
        <w:spacing w:before="0" w:after="0"/>
        <w:ind w:hanging="283" w:start="709"/>
        <w:jc w:val="start"/>
        <w:rPr/>
      </w:pPr>
      <w:r>
        <w:rPr/>
        <w:t xml:space="preserve">Verificación: recorrido navegador de tres amenazas, pausa y continuación, modo reducido, comparación, descarga/validación JSON y transferencia de amenaza a preparación. Móvil con descargas externas bloqueadas, sin desbordamiento horizontal. Fallo de WebGL mostrado de forma comprensible. Sin errores de navegador en el recorrido funcional. </w:t>
      </w:r>
    </w:p>
    <w:p>
      <w:pPr>
        <w:pStyle w:val="BodyText"/>
        <w:numPr>
          <w:ilvl w:val="0"/>
          <w:numId w:val="22"/>
        </w:numPr>
        <w:tabs>
          <w:tab w:val="clear" w:pos="1134"/>
          <w:tab w:val="left" w:pos="709" w:leader="none"/>
        </w:tabs>
        <w:bidi w:val="0"/>
        <w:spacing w:before="0" w:after="0"/>
        <w:ind w:hanging="283" w:start="709"/>
        <w:jc w:val="start"/>
        <w:rPr/>
      </w:pPr>
      <w:r>
        <w:rPr/>
        <w:t xml:space="preserve">Conteos de referencia del ZIP reproducidos por interfaz: inundación 5.357 manzanas; sismo 7.855. No se confunden registros de construcción con personas ni se presentan categorías cartográficas como pronóstico o evaluación estructural. Catastro y fecha de descarga atribuidos al autor del ZIP, sin descarga independiente completa; licencia catastral por verificar, visible en el método. No hubo publicación externa. </w:t>
      </w:r>
    </w:p>
    <w:p>
      <w:pPr>
        <w:pStyle w:val="BodyText"/>
        <w:numPr>
          <w:ilvl w:val="0"/>
          <w:numId w:val="22"/>
        </w:numPr>
        <w:tabs>
          <w:tab w:val="clear" w:pos="1134"/>
          <w:tab w:val="left" w:pos="709" w:leader="none"/>
        </w:tabs>
        <w:bidi w:val="0"/>
        <w:spacing w:before="0" w:after="0"/>
        <w:ind w:hanging="283" w:start="709"/>
        <w:jc w:val="start"/>
        <w:rPr/>
      </w:pPr>
      <w:r>
        <w:rPr/>
        <w:t xml:space="preserve">Integración reproducible sobre la copia compilada (sin fuentes originales de la app): </w:t>
      </w:r>
      <w:r>
        <w:rPr>
          <w:rStyle w:val="SourceText"/>
        </w:rPr>
        <w:t>python3 frontend/scripts/integrate_simulation.py</w:t>
      </w:r>
      <w:r>
        <w:rPr/>
        <w:t xml:space="preserve">, posterior al parche del mapa; pruebas en </w:t>
      </w:r>
      <w:r>
        <w:rPr>
          <w:rStyle w:val="SourceText"/>
        </w:rPr>
        <w:t>frontend/simulation-source/simulation-math.test.cjs</w:t>
      </w:r>
      <w:r>
        <w:rPr/>
        <w:t xml:space="preserve"> y </w:t>
      </w:r>
      <w:r>
        <w:rPr>
          <w:rStyle w:val="SourceText"/>
        </w:rPr>
        <w:t>browser-check.cjs</w:t>
      </w:r>
      <w:r>
        <w:rPr/>
        <w:t xml:space="preserve">. </w:t>
      </w:r>
    </w:p>
    <w:p>
      <w:pPr>
        <w:pStyle w:val="BodyText"/>
        <w:numPr>
          <w:ilvl w:val="0"/>
          <w:numId w:val="22"/>
        </w:numPr>
        <w:tabs>
          <w:tab w:val="clear" w:pos="1134"/>
          <w:tab w:val="left" w:pos="709" w:leader="none"/>
        </w:tabs>
        <w:bidi w:val="0"/>
        <w:ind w:hanging="283" w:start="709"/>
        <w:jc w:val="start"/>
        <w:rPr/>
      </w:pPr>
      <w:r>
        <w:rPr/>
        <w:t xml:space="preserve">Referencias oficiales consultadas para render y relieve: </w:t>
      </w:r>
      <w:hyperlink r:id="rId62">
        <w:r>
          <w:rPr>
            <w:rStyle w:val="Hyperlink"/>
          </w:rPr>
          <w:t>https://threejs.org/docs/pages/InstancedMesh.html</w:t>
        </w:r>
      </w:hyperlink>
      <w:r>
        <w:rPr/>
        <w:t xml:space="preserve"> y </w:t>
      </w:r>
      <w:hyperlink r:id="rId63">
        <w:r>
          <w:rPr>
            <w:rStyle w:val="Hyperlink"/>
          </w:rPr>
          <w:t>https://registry.opendata.aws/terrain-tiles/</w:t>
        </w:r>
      </w:hyperlink>
      <w:r>
        <w:rPr/>
        <w:t xml:space="preserve"> . Fuente detallada del ZIP: </w:t>
      </w:r>
      <w:r>
        <w:rPr>
          <w:rStyle w:val="SourceText"/>
        </w:rPr>
        <w:t>frontend/simulation-source/FUENTES_Y_METODO.md</w:t>
      </w:r>
      <w:r>
        <w:rPr/>
        <w:t xml:space="preserve">. </w:t>
      </w:r>
    </w:p>
    <w:p>
      <w:pPr>
        <w:pStyle w:val="Heading2"/>
        <w:bidi w:val="0"/>
        <w:jc w:val="start"/>
        <w:rPr/>
      </w:pPr>
      <w:r>
        <w:rPr/>
        <w:t>12. Versión preparada para el repositorio del equipo (8 de octubre de 2026)</w:t>
      </w:r>
    </w:p>
    <w:p>
      <w:pPr>
        <w:pStyle w:val="BodyText"/>
        <w:numPr>
          <w:ilvl w:val="0"/>
          <w:numId w:val="23"/>
        </w:numPr>
        <w:tabs>
          <w:tab w:val="clear" w:pos="1134"/>
          <w:tab w:val="left" w:pos="709" w:leader="none"/>
        </w:tabs>
        <w:bidi w:val="0"/>
        <w:spacing w:before="0" w:after="0"/>
        <w:ind w:hanging="283" w:start="709"/>
        <w:jc w:val="start"/>
        <w:rPr/>
      </w:pPr>
      <w:r>
        <w:rPr/>
        <w:t xml:space="preserve">Equipo: William Ortiz, Herlin Echeverry, Pablo Arango y Bryan Martinez Villamarin. </w:t>
      </w:r>
    </w:p>
    <w:p>
      <w:pPr>
        <w:pStyle w:val="BodyText"/>
        <w:numPr>
          <w:ilvl w:val="0"/>
          <w:numId w:val="23"/>
        </w:numPr>
        <w:tabs>
          <w:tab w:val="clear" w:pos="1134"/>
          <w:tab w:val="left" w:pos="709" w:leader="none"/>
        </w:tabs>
        <w:bidi w:val="0"/>
        <w:spacing w:before="0" w:after="0"/>
        <w:ind w:hanging="283" w:start="709"/>
        <w:jc w:val="start"/>
        <w:rPr/>
      </w:pPr>
      <w:r>
        <w:rPr/>
        <w:t xml:space="preserve">La navegación incluye </w:t>
      </w:r>
      <w:r>
        <w:rPr>
          <w:b/>
        </w:rPr>
        <w:t>06 Simulación</w:t>
      </w:r>
      <w:r>
        <w:rPr/>
        <w:t xml:space="preserve">, con el mismo estilo que las demás opciones; abre </w:t>
      </w:r>
      <w:r>
        <w:rPr>
          <w:rStyle w:val="SourceText"/>
        </w:rPr>
        <w:t>/simulation.html</w:t>
      </w:r>
      <w:r>
        <w:rPr/>
        <w:t xml:space="preserve"> en la misma pestaña. </w:t>
      </w:r>
    </w:p>
    <w:p>
      <w:pPr>
        <w:pStyle w:val="BodyText"/>
        <w:numPr>
          <w:ilvl w:val="0"/>
          <w:numId w:val="23"/>
        </w:numPr>
        <w:tabs>
          <w:tab w:val="clear" w:pos="1134"/>
          <w:tab w:val="left" w:pos="709" w:leader="none"/>
        </w:tabs>
        <w:bidi w:val="0"/>
        <w:spacing w:before="0" w:after="0"/>
        <w:ind w:hanging="283" w:start="709"/>
        <w:jc w:val="start"/>
        <w:rPr/>
      </w:pPr>
      <w:r>
        <w:rPr/>
        <w:t xml:space="preserve">Navegación con ajuste de filas para pantallas pequeñas y versión de recursos actualizada para evitar la caché anterior. </w:t>
      </w:r>
    </w:p>
    <w:p>
      <w:pPr>
        <w:pStyle w:val="BodyText"/>
        <w:numPr>
          <w:ilvl w:val="0"/>
          <w:numId w:val="23"/>
        </w:numPr>
        <w:tabs>
          <w:tab w:val="clear" w:pos="1134"/>
          <w:tab w:val="left" w:pos="709" w:leader="none"/>
        </w:tabs>
        <w:bidi w:val="0"/>
        <w:spacing w:before="0" w:after="0"/>
        <w:ind w:hanging="283" w:start="709"/>
        <w:jc w:val="start"/>
        <w:rPr/>
      </w:pPr>
      <w:r>
        <w:rPr/>
        <w:t xml:space="preserve">Acceso verificado en navegador con anchos de 1280 y 390 píxeles. </w:t>
      </w:r>
    </w:p>
    <w:p>
      <w:pPr>
        <w:pStyle w:val="BodyText"/>
        <w:numPr>
          <w:ilvl w:val="0"/>
          <w:numId w:val="23"/>
        </w:numPr>
        <w:tabs>
          <w:tab w:val="clear" w:pos="1134"/>
          <w:tab w:val="left" w:pos="709" w:leader="none"/>
        </w:tabs>
        <w:bidi w:val="0"/>
        <w:spacing w:before="0" w:after="283"/>
        <w:ind w:hanging="283" w:start="709"/>
        <w:jc w:val="start"/>
        <w:rPr/>
      </w:pPr>
      <w:r>
        <w:rPr/>
        <w:t xml:space="preserve">Ejecución del prototipo: </w:t>
      </w:r>
      <w:r>
        <w:rPr>
          <w:rStyle w:val="SourceText"/>
        </w:rPr>
        <w:t>python3 -m http.server 4173 --bind 127.0.0.1 --directory frontend/dist</w:t>
      </w:r>
      <w:r>
        <w:rPr/>
        <w:t xml:space="preserve">. Abrir </w:t>
      </w:r>
      <w:r>
        <w:rPr>
          <w:rStyle w:val="SourceText"/>
        </w:rPr>
        <w:t>http://127.0.0.1:4173/</w:t>
      </w:r>
      <w:r>
        <w:rPr/>
        <w:t xml:space="preserve">. La entrega contiene la aplicación compilada, los datos y los scripts de mantenimiento disponibles. No incluye el proyecto fuente original de React. </w:t>
      </w:r>
    </w:p>
    <w:sectPr>
      <w:type w:val="nextPage"/>
      <w:pgSz w:w="12240" w:h="15840"/>
      <w:pgMar w:left="1134" w:right="567" w:gutter="0" w:header="0" w:top="567" w:footer="0" w:bottom="567"/>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altName w:val="sans-serif"/>
    <w:charset w:val="01" w:characterSet="utf-8"/>
    <w:family w:val="auto"/>
    <w:pitch w:val="default"/>
  </w:font>
  <w:font w:name="Noto Sans">
    <w:charset w:val="01" w:characterSet="utf-8"/>
    <w:family w:val="auto"/>
    <w:pitch w:val="variable"/>
  </w:font>
  <w:font w:name="DejaVu Sans Mono">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DejaVu Sans;sans-serif" w:hAnsi="DejaVu Sans;sans-serif" w:eastAsia="DejaVu Sans;sans-serif" w:cs="DejaVu Sans;sans-serif"/>
      <w:color w:val="1A1A1A"/>
      <w:sz w:val="19"/>
      <w:szCs w:val="19"/>
      <w:lang w:val="en-US" w:eastAsia="zh-CN" w:bidi="hi-IN"/>
    </w:rPr>
  </w:style>
  <w:style w:type="paragraph" w:styleId="Heading1">
    <w:name w:val="Heading 1"/>
    <w:basedOn w:val="Heading"/>
    <w:next w:val="BodyText"/>
    <w:qFormat/>
    <w:pPr>
      <w:pBdr>
        <w:bottom w:val="single" w:sz="12" w:space="3" w:color="0B4F6C"/>
      </w:pBdr>
    </w:pPr>
    <w:rPr>
      <w:rFonts w:ascii="Noto Sans" w:hAnsi="Noto Sans"/>
      <w:b/>
      <w:bCs/>
      <w:color w:val="0B4F6C"/>
      <w:sz w:val="34"/>
      <w:szCs w:val="34"/>
    </w:rPr>
  </w:style>
  <w:style w:type="paragraph" w:styleId="Heading2">
    <w:name w:val="Heading 2"/>
    <w:basedOn w:val="Heading"/>
    <w:next w:val="BodyText"/>
    <w:qFormat/>
    <w:pPr>
      <w:pBdr>
        <w:bottom w:val="single" w:sz="2" w:space="1" w:color="99CCCC"/>
      </w:pBdr>
      <w:spacing w:before="270" w:after="120"/>
      <w:outlineLvl w:val="1"/>
    </w:pPr>
    <w:rPr>
      <w:rFonts w:ascii="Liberation Serif" w:hAnsi="Liberation Serif" w:eastAsia="Noto Serif CJK SC" w:cs="Noto Sans Devanagari"/>
      <w:b/>
      <w:bCs/>
      <w:color w:val="0B4F6C"/>
      <w:sz w:val="26"/>
      <w:szCs w:val="26"/>
    </w:rPr>
  </w:style>
  <w:style w:type="paragraph" w:styleId="Heading3">
    <w:name w:val="Heading 3"/>
    <w:basedOn w:val="Heading"/>
    <w:next w:val="BodyText"/>
    <w:qFormat/>
    <w:pPr>
      <w:spacing w:before="180" w:after="120"/>
      <w:outlineLvl w:val="2"/>
    </w:pPr>
    <w:rPr>
      <w:rFonts w:ascii="Liberation Serif" w:hAnsi="Liberation Serif" w:eastAsia="Noto Serif CJK SC" w:cs="Noto Sans Devanagari"/>
      <w:b/>
      <w:bCs/>
      <w:color w:val="1D6F8A"/>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B4F6C"/>
      <w:u w:val="single"/>
    </w:rPr>
  </w:style>
  <w:style w:type="character" w:styleId="SourceText">
    <w:name w:val="Source Text"/>
    <w:qFormat/>
    <w:rPr>
      <w:rFonts w:ascii="DejaVu Sans Mono" w:hAnsi="DejaVu Sans Mono" w:eastAsia="DejaVu Sans Mono" w:cs="DejaVu Sans Mono"/>
      <w:sz w:val="16"/>
      <w:szCs w:val="16"/>
    </w:rPr>
  </w:style>
  <w:style w:type="character" w:styleId="FollowedHyperlink">
    <w:name w:val="FollowedHyperlink"/>
    <w:rPr>
      <w:color w:val="0B4F6C"/>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7"/>
      <w:szCs w:val="17"/>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24" w:space="6" w:color="E0A800"/>
      </w:pBdr>
      <w:shd w:fill="FFF6DD" w:val="clear"/>
      <w:spacing w:before="90" w:after="90"/>
      <w:ind w:hanging="0" w:start="90" w:end="90"/>
    </w:pPr>
    <w:rPr/>
  </w:style>
  <w:style w:type="paragraph" w:styleId="TableHeading">
    <w:name w:val="Table Heading"/>
    <w:basedOn w:val="TableContents"/>
    <w:qFormat/>
    <w:pPr>
      <w:suppressLineNumbers/>
      <w:shd w:fill="0B4F6C" w:val="clear"/>
      <w:jc w:val="star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artifact/LAmBJHeusdaZ48dwDgkpLx" TargetMode="External"/><Relationship Id="rId3" Type="http://schemas.openxmlformats.org/officeDocument/2006/relationships/hyperlink" Target="https://claude.ai/artifact/W2gqfgJFZjHU33PMR6Lqmt" TargetMode="External"/><Relationship Id="rId4" Type="http://schemas.openxmlformats.org/officeDocument/2006/relationships/hyperlink" Target="https://claude.ai/artifact/5Bwp37CYVRW8DypdZdASi8" TargetMode="External"/><Relationship Id="rId5" Type="http://schemas.openxmlformats.org/officeDocument/2006/relationships/hyperlink" Target="https://claude.ai/artifact/EggcCaEL6xavWRHpkY9KAU" TargetMode="External"/><Relationship Id="rId6" Type="http://schemas.openxmlformats.org/officeDocument/2006/relationships/hyperlink" Target="https://claude.ai/artifact/8yLQNLcNt8FF3aMcmewD81" TargetMode="External"/><Relationship Id="rId7" Type="http://schemas.openxmlformats.org/officeDocument/2006/relationships/hyperlink" Target="https://gemini.google.com/gem/1Isx0OX0Ap5lmPl5SlM8d4y9KWl9E4dvC?usp=sharing" TargetMode="External"/><Relationship Id="rId8" Type="http://schemas.openxmlformats.org/officeDocument/2006/relationships/hyperlink" Target="https://datos.cali.gov.co/" TargetMode="External"/><Relationship Id="rId9" Type="http://schemas.openxmlformats.org/officeDocument/2006/relationships/hyperlink" Target="https://idesc.cali.gov.co/" TargetMode="External"/><Relationship Id="rId10" Type="http://schemas.openxmlformats.org/officeDocument/2006/relationships/hyperlink" Target="https://rapidmapping.emergency.copernicus.eu/EMSR916/" TargetMode="External"/><Relationship Id="rId11" Type="http://schemas.openxmlformats.org/officeDocument/2006/relationships/hyperlink" Target="https://sertit.unistra.fr/cartographie-rapide/cartoaction/845/" TargetMode="External"/><Relationship Id="rId12" Type="http://schemas.openxmlformats.org/officeDocument/2006/relationships/hyperlink" Target="https://datosdelterremoto.org/municipio/cali/" TargetMode="External"/><Relationship Id="rId13" Type="http://schemas.openxmlformats.org/officeDocument/2006/relationships/hyperlink" Target="https://github.com/18orkidea/monitor-terremoto-colombia" TargetMode="External"/><Relationship Id="rId14" Type="http://schemas.openxmlformats.org/officeDocument/2006/relationships/hyperlink" Target="https://rud.gestiondelriesgo.gov.co/" TargetMode="External"/><Relationship Id="rId15" Type="http://schemas.openxmlformats.org/officeDocument/2006/relationships/hyperlink" Target="https://portal-hidroclimatologico.cvc.gov.co/" TargetMode="External"/><Relationship Id="rId16" Type="http://schemas.openxmlformats.org/officeDocument/2006/relationships/hyperlink" Target="https://www.datos.gov.co/resource/bdmn-sqnh" TargetMode="External"/><Relationship Id="rId17" Type="http://schemas.openxmlformats.org/officeDocument/2006/relationships/hyperlink" Target="https://www.elpais.com.co/cali/alcaldia-de-cali-entrega-balance-de-gestion-tras-el-sismo-mas-de-3400-edificaciones-evaluadas-y-45000-familias-damnificadas-2338.html" TargetMode="External"/><Relationship Id="rId18" Type="http://schemas.openxmlformats.org/officeDocument/2006/relationships/hyperlink" Target="https://www.elpais.com.co/cali/cali-antes-y-despues-del-terremoto-asi-cambiaron-los-sectores-mas-afectados-desgarradoras-imagenes-1636.html" TargetMode="External"/><Relationship Id="rId19" Type="http://schemas.openxmlformats.org/officeDocument/2006/relationships/hyperlink" Target="https://es.wikipedia.org/wiki/Terremoto_de_Colombia_de_2026" TargetMode="External"/><Relationship Id="rId20" Type="http://schemas.openxmlformats.org/officeDocument/2006/relationships/hyperlink" Target="https://www.infobae.com/colombia/2026/09/25/ocha-alerta-vacios-de-informacion-y-atencion-tras-terremoto-que-deja-486917-afectados-en-colombia/" TargetMode="External"/><Relationship Id="rId21" Type="http://schemas.openxmlformats.org/officeDocument/2006/relationships/hyperlink" Target="https://datosdelterremoto.org/municipio/cali/" TargetMode="External"/><Relationship Id="rId22" Type="http://schemas.openxmlformats.org/officeDocument/2006/relationships/hyperlink" Target="https://www.defensoria.gov.co/web/guest/-/defensoria-pide-atencion-urgente-para-336-familias-en-albergues-de-cali" TargetMode="External"/><Relationship Id="rId23" Type="http://schemas.openxmlformats.org/officeDocument/2006/relationships/hyperlink" Target="https://www.vanguardia.com/colombia/2026/09/13/el-terremoto-no-termina-la-vida-en-los-albergues-de-cali/" TargetMode="External"/><Relationship Id="rId24" Type="http://schemas.openxmlformats.org/officeDocument/2006/relationships/hyperlink" Target="https://www.elpais.com.co/cali/terremoto-en-cali-estos-son-los-lugares-habilitados-para-recibir-a-los-damnificados-1038.html" TargetMode="External"/><Relationship Id="rId25" Type="http://schemas.openxmlformats.org/officeDocument/2006/relationships/hyperlink" Target="https://www.elnuevosiglo.com.co/nacion/cali-abren-albergue-en-cancha-de-hockey-y-evaluan-subsidios-para-damnificados" TargetMode="External"/><Relationship Id="rId26" Type="http://schemas.openxmlformats.org/officeDocument/2006/relationships/hyperlink" Target="https://www.semana.com/nacion/cali/articulo/tras-el-terremoto-cali-informa-cuales-escenarios-deportivos-vuelven-a-estar-al-servicio-de-los-atletas-desde-este-31-de-agosto/202628/" TargetMode="External"/><Relationship Id="rId27" Type="http://schemas.openxmlformats.org/officeDocument/2006/relationships/hyperlink" Target="https://occidente.co/regionales/valle-del-cauca/36-escenarios-deportivos-estan-afectados/" TargetMode="External"/><Relationship Id="rId28" Type="http://schemas.openxmlformats.org/officeDocument/2006/relationships/hyperlink" Target="https://www.icbf.gov.co/noticias/el-icbf-mantiene-atencion-ininterrumpida-en-territorios-afectados-por-el-terremoto" TargetMode="External"/><Relationship Id="rId29" Type="http://schemas.openxmlformats.org/officeDocument/2006/relationships/hyperlink" Target="https://cwmas.com.co/cali/2026/02/24/rio-cauca-en-alerta-naranja-aumenta-el-caudal-en-el-oriente-de-cali/" TargetMode="External"/><Relationship Id="rId30" Type="http://schemas.openxmlformats.org/officeDocument/2006/relationships/hyperlink" Target="https://www.cali.gov.co/boletines/publicaciones/191712/el-jarillon-del-rio-cauca-no-es-una-via-se-limitara-el-acceso-y-transito-de-vehiculos-sobre-su-estructura/" TargetMode="External"/><Relationship Id="rId31" Type="http://schemas.openxmlformats.org/officeDocument/2006/relationships/hyperlink" Target="https://www.fondoadaptacion.gov.co/index.php/component/sppagebuilder/?view=page&amp;id=168" TargetMode="External"/><Relationship Id="rId32" Type="http://schemas.openxmlformats.org/officeDocument/2006/relationships/hyperlink" Target="https://www.lafm.com.co/actualidad/medidas-aumento-incendios-forestales-cali-fenomeno-nino-405401" TargetMode="External"/><Relationship Id="rId33" Type="http://schemas.openxmlformats.org/officeDocument/2006/relationships/hyperlink" Target="https://ciudadregion.com/regiones/valle-del-cauca/cali/pico-fenomeno-nino-noviembre-valle-cauca-niveles-embalses" TargetMode="External"/><Relationship Id="rId34" Type="http://schemas.openxmlformats.org/officeDocument/2006/relationships/hyperlink" Target="https://ciudadregion.com/regiones/valle-del-cauca/cali/sequia-valle-del-cauca-niveles-represas-incendios-forestales" TargetMode="External"/><Relationship Id="rId35" Type="http://schemas.openxmlformats.org/officeDocument/2006/relationships/hyperlink" Target="https://www.cali.gov.co/gobierno/publicaciones/193607/terremoto-de-cali-repositorio-oficial-de-informacion/" TargetMode="External"/><Relationship Id="rId36" Type="http://schemas.openxmlformats.org/officeDocument/2006/relationships/hyperlink" Target="https://www.unocha.org/publications/report/colombia/colombia-prediccion-impactos-por-desarrollo-de-el-fenomeno-del-nino-2026-2027-19-de-junio-de-2026" TargetMode="External"/><Relationship Id="rId37" Type="http://schemas.openxmlformats.org/officeDocument/2006/relationships/hyperlink" Target="https://www.cdp.net/en/insights/yokohama" TargetMode="External"/><Relationship Id="rId38" Type="http://schemas.openxmlformats.org/officeDocument/2006/relationships/hyperlink" Target="https://adaptation-platform.nies.go.jp/en/db/measures/report_043.html" TargetMode="External"/><Relationship Id="rId39" Type="http://schemas.openxmlformats.org/officeDocument/2006/relationships/hyperlink" Target="https://www.tokyo-park.or.jp/special/bousai/english/sisetsu.html" TargetMode="External"/><Relationship Id="rId40" Type="http://schemas.openxmlformats.org/officeDocument/2006/relationships/hyperlink" Target="https://www.smithsonianmag.com/smart-news/tokyo-has-built-disaster-preparedness-fabric-city-180952366/" TargetMode="External"/><Relationship Id="rId41" Type="http://schemas.openxmlformats.org/officeDocument/2006/relationships/hyperlink" Target="https://www.kubota.com/corporatehistory/ourchallenges/japan-water-03/2/" TargetMode="External"/><Relationship Id="rId42" Type="http://schemas.openxmlformats.org/officeDocument/2006/relationships/hyperlink" Target="https://reliefweb.int/report/nepal/updated-report-83-open-spaces-identified-humanitarian-purposes-kathmandu-valley" TargetMode="External"/><Relationship Id="rId43" Type="http://schemas.openxmlformats.org/officeDocument/2006/relationships/hyperlink" Target="https://nepalitimes.com/kathmandu-loses-its-open-spaces" TargetMode="External"/><Relationship Id="rId44" Type="http://schemas.openxmlformats.org/officeDocument/2006/relationships/hyperlink" Target="https://www.turkeyrecap.com/p/out-of-space-lack-of-safe-zones-deepens" TargetMode="External"/><Relationship Id="rId45" Type="http://schemas.openxmlformats.org/officeDocument/2006/relationships/hyperlink" Target="https://www.elimparcial.com/mexico/2026/09/19/simulacro-nacional-2026-303-altavoces-de-cdmx-no-sonaron-segun-c5-asi-puedes-reportar-una-falla/" TargetMode="External"/><Relationship Id="rId46" Type="http://schemas.openxmlformats.org/officeDocument/2006/relationships/hyperlink" Target="https://www.urbanisten.nl/work/benthemplein" TargetMode="External"/><Relationship Id="rId47" Type="http://schemas.openxmlformats.org/officeDocument/2006/relationships/hyperlink" Target="https://www.dutchwatersector.com/news/new-innovative-water-square-combines-leisure-and-storm-water-storage-in-rotterdam-the" TargetMode="External"/><Relationship Id="rId48" Type="http://schemas.openxmlformats.org/officeDocument/2006/relationships/hyperlink" Target="https://stateofgreen.com/en/solutions/125669/" TargetMode="External"/><Relationship Id="rId49" Type="http://schemas.openxmlformats.org/officeDocument/2006/relationships/hyperlink" Target="https://toposmagazine.com/enghaveparken-copenhagen-denmark/" TargetMode="External"/><Relationship Id="rId50" Type="http://schemas.openxmlformats.org/officeDocument/2006/relationships/hyperlink" Target="https://www.preventionweb.net/news/chinas-sponge-cities-aim-re-use-70-rainwater-heres-how" TargetMode="External"/><Relationship Id="rId51" Type="http://schemas.openxmlformats.org/officeDocument/2006/relationships/hyperlink" Target="https://de.wikipedia.org/wiki/Trinkwassernotbrunnen" TargetMode="External"/><Relationship Id="rId52" Type="http://schemas.openxmlformats.org/officeDocument/2006/relationships/hyperlink" Target="https://www.bbk.bund.de/DE/Themen/Kritische-Infrastrukturen/Sektoren-Branchen/Wasser/Wassersicherstellung/wassersicherstellung_node.html" TargetMode="External"/><Relationship Id="rId53" Type="http://schemas.openxmlformats.org/officeDocument/2006/relationships/hyperlink" Target="https://iol.co.za/capeargus/news/watercrisis-city-of-cape-town-unveils-scant-dayzero-plans-12989659" TargetMode="External"/><Relationship Id="rId54" Type="http://schemas.openxmlformats.org/officeDocument/2006/relationships/hyperlink" Target="https://siwi.org/news/how-cape-town-saved-itself-from-day-zero" TargetMode="External"/><Relationship Id="rId55" Type="http://schemas.openxmlformats.org/officeDocument/2006/relationships/hyperlink" Target="https://phys.org/news/2024-02-barcelona-restrictions-drought-emergency-declared.html" TargetMode="External"/><Relationship Id="rId56" Type="http://schemas.openxmlformats.org/officeDocument/2006/relationships/hyperlink" Target="https://ajuntament.barcelona.cat/urbanisme-accio-climatica-mobilitat-pla-barris-serveis-urbans/en/aigua/la-sequera" TargetMode="External"/><Relationship Id="rId57" Type="http://schemas.openxmlformats.org/officeDocument/2006/relationships/hyperlink" Target="https://normograma.crcom.gov.co/crc/compilacion/docs/resolucion_ane_0105_2020.htm" TargetMode="External"/><Relationship Id="rId58" Type="http://schemas.openxmlformats.org/officeDocument/2006/relationships/hyperlink" Target="https://www.researchgate.net/publication/45637651_Hydrogen_Chloride_in_Fires" TargetMode="External"/><Relationship Id="rId59" Type="http://schemas.openxmlformats.org/officeDocument/2006/relationships/hyperlink" Target="http://127.0.0.1:4173/" TargetMode="External"/><Relationship Id="rId60" Type="http://schemas.openxmlformats.org/officeDocument/2006/relationships/hyperlink" Target="https://certeza.app/en/debt-collection" TargetMode="External"/><Relationship Id="rId61" Type="http://schemas.openxmlformats.org/officeDocument/2006/relationships/hyperlink" Target="https://tile.openstreetmap.org/%7Bz%7D/%7Bx%7D/%7By%7D.png" TargetMode="External"/><Relationship Id="rId62" Type="http://schemas.openxmlformats.org/officeDocument/2006/relationships/hyperlink" Target="https://threejs.org/docs/pages/InstancedMesh.html" TargetMode="External"/><Relationship Id="rId63" Type="http://schemas.openxmlformats.org/officeDocument/2006/relationships/hyperlink" Target="https://registry.opendata.aws/terrain-tiles/" TargetMode="Externa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Hackathon Cali 2026 - Bitácora</dc:title>
</cp:coreProperties>
</file>

<file path=docProps/custom.xml><?xml version="1.0" encoding="utf-8"?>
<Properties xmlns="http://schemas.openxmlformats.org/officeDocument/2006/custom-properties" xmlns:vt="http://schemas.openxmlformats.org/officeDocument/2006/docPropsVTypes"/>
</file>