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речь-к-выступлению-10-минут"/>
    <w:p>
      <w:pPr>
        <w:pStyle w:val="Heading1"/>
      </w:pPr>
      <w:r>
        <w:t xml:space="preserve">Речь к выступлению (≈10 минут)</w:t>
      </w:r>
    </w:p>
    <w:p>
      <w:pPr>
        <w:pStyle w:val="FirstParagraph"/>
      </w:pPr>
      <w:r>
        <w:rPr>
          <w:bCs/>
          <w:b/>
        </w:rPr>
        <w:t xml:space="preserve">Тема:</w:t>
      </w:r>
      <w:r>
        <w:t xml:space="preserve"> </w:t>
      </w:r>
      <w:r>
        <w:t xml:space="preserve">«Методики и модель расположения радиомаяков на производстве для улучшения качества выпускаемой продукции и минимизации рисков»</w:t>
      </w:r>
      <w:r>
        <w:t xml:space="preserve"> </w:t>
      </w:r>
      <w:r>
        <w:rPr>
          <w:bCs/>
          <w:b/>
        </w:rPr>
        <w:t xml:space="preserve">Специальность:</w:t>
      </w:r>
      <w:r>
        <w:t xml:space="preserve"> </w:t>
      </w:r>
      <w:r>
        <w:t xml:space="preserve">2.5.22. Управление качеством продукции. Стандартизация. Организация производства</w:t>
      </w:r>
      <w:r>
        <w:t xml:space="preserve"> </w:t>
      </w:r>
      <w:r>
        <w:rPr>
          <w:bCs/>
          <w:b/>
        </w:rPr>
        <w:t xml:space="preserve">Аспирант:</w:t>
      </w:r>
      <w:r>
        <w:t xml:space="preserve"> </w:t>
      </w:r>
      <w:r>
        <w:t xml:space="preserve">Егоров А. Э. ·</w:t>
      </w:r>
      <w:r>
        <w:t xml:space="preserve"> </w:t>
      </w:r>
      <w:r>
        <w:rPr>
          <w:bCs/>
          <w:b/>
        </w:rPr>
        <w:t xml:space="preserve">Научный руководитель:</w:t>
      </w:r>
      <w:r>
        <w:t xml:space="preserve"> </w:t>
      </w:r>
      <w:r>
        <w:t xml:space="preserve">к. т. н., доцент Епифанцев К. В.</w:t>
      </w:r>
    </w:p>
    <w:p>
      <w:pPr>
        <w:pStyle w:val="BodyText"/>
      </w:pPr>
      <w:r>
        <w:rPr>
          <w:iCs/>
          <w:i/>
        </w:rPr>
        <w:t xml:space="preserve">Ориентир по времени указан в квадратных скобках. Темп около 130 слов в минуту.</w:t>
      </w:r>
    </w:p>
    <w:p>
      <w:r>
        <w:pict>
          <v:rect style="width:0;height:1.5pt" o:hralign="center" o:hrstd="t" o:hr="t"/>
        </w:pict>
      </w:r>
    </w:p>
    <w:bookmarkStart w:id="20" w:name="слайд-1.-титульный-000020"/>
    <w:p>
      <w:pPr>
        <w:pStyle w:val="Heading3"/>
      </w:pPr>
      <w:r>
        <w:t xml:space="preserve">Слайд 1. Титульный [0:00–0:20]</w:t>
      </w:r>
    </w:p>
    <w:p>
      <w:pPr>
        <w:pStyle w:val="FirstParagraph"/>
      </w:pPr>
      <w:r>
        <w:t xml:space="preserve">Уважаемые члены комиссии! Меня зовут Александр Эдуардович Егоров, я аспирант третьего года кафедры 6. Тема моей диссертации: «Методики и модель расположения радиомаяков на производстве для улучшения качества выпускаемой продукции и минимизации рисков». Научный руководитель — кандидат технических наук, доцент Кирилл Валерьевич Епифанцев.</w:t>
      </w:r>
    </w:p>
    <w:bookmarkEnd w:id="20"/>
    <w:bookmarkStart w:id="21" w:name="слайд-2.-актуальность-020120"/>
    <w:p>
      <w:pPr>
        <w:pStyle w:val="Heading3"/>
      </w:pPr>
      <w:r>
        <w:t xml:space="preserve">Слайд 2. Актуальность [0:20–1:20]</w:t>
      </w:r>
    </w:p>
    <w:p>
      <w:pPr>
        <w:pStyle w:val="FirstParagraph"/>
      </w:pPr>
      <w:r>
        <w:t xml:space="preserve">Стандарт ГОСТ Р ИСО 9001, пункт 8.5.2, требует прослеживаемости: предприятие обязано идентифицировать продукцию и её статус на всех стадиях производства. Всё чаще для этого используют радиомаяки — BLE, UWB, LoRaWAN. Они отслеживают изделия, оснастку и персонал.</w:t>
      </w:r>
    </w:p>
    <w:p>
      <w:pPr>
        <w:pStyle w:val="BodyText"/>
      </w:pPr>
      <w:r>
        <w:t xml:space="preserve">На практике места для маяков выбирают «по опыту»: ставят равномерной сеткой или по одному на зону. В результате критичные участки — термообработка, сварка, ОТК — покрыты не лучше склада. Нарушения маршрута, времени операций и обход контроля пропускаются, а это брак и производственный риск.</w:t>
      </w:r>
    </w:p>
    <w:p>
      <w:pPr>
        <w:pStyle w:val="BodyText"/>
      </w:pPr>
      <w:r>
        <w:t xml:space="preserve">Посмотрите на цифры модельного участка. Без маяков до потребителя доходит 864 ppm несоответствий. Даже с сеткой вероятность выявить нарушение в зоне ОТК — всего 0,47, хотя тяжесть последствий там максимальная, 10 баллов. Методик, которые связывают расстановку маяков с FMEA и показателями качества, в литературе нет.</w:t>
      </w:r>
    </w:p>
    <w:p>
      <w:pPr>
        <w:pStyle w:val="BodyText"/>
      </w:pPr>
      <w:r>
        <w:t xml:space="preserve">Поэтому я рассматриваю расположение маяков не как радиотехническую задачу, а как задачу управления качеством. От него зависит балл обнаружения D в FMEA, а через него — риск и доля брака.</w:t>
      </w:r>
    </w:p>
    <w:bookmarkEnd w:id="21"/>
    <w:bookmarkStart w:id="22" w:name="слайд-3.-цель-и-задачи-120205"/>
    <w:p>
      <w:pPr>
        <w:pStyle w:val="Heading3"/>
      </w:pPr>
      <w:r>
        <w:t xml:space="preserve">Слайд 3. Цель и задачи [1:20–2:05]</w:t>
      </w:r>
    </w:p>
    <w:p>
      <w:pPr>
        <w:pStyle w:val="FirstParagraph"/>
      </w:pPr>
      <w:r>
        <w:t xml:space="preserve">Цель работы — повысить качество выпускаемой продукции и снизить производственные риски. Для этого способы и места расположения радиомаяков выбираются научно обоснованно, а метод реализован в экспертной системе.</w:t>
      </w:r>
    </w:p>
    <w:p>
      <w:pPr>
        <w:pStyle w:val="BodyText"/>
      </w:pPr>
      <w:r>
        <w:t xml:space="preserve">Для достижения цели решаются пять задач:</w:t>
      </w:r>
      <w:r>
        <w:t xml:space="preserve"> </w:t>
      </w:r>
      <w:r>
        <w:t xml:space="preserve">1. Проанализировать технологии радиомаяков и методы размещения с позиций управления качеством.</w:t>
      </w:r>
      <w:r>
        <w:t xml:space="preserve"> </w:t>
      </w:r>
      <w:r>
        <w:t xml:space="preserve">2. Построить модель «расположение → радиосеть → выявляемость → риск и качество» с обобщённым показателем K на основе метода анализа иерархий.</w:t>
      </w:r>
      <w:r>
        <w:t xml:space="preserve"> </w:t>
      </w:r>
      <w:r>
        <w:t xml:space="preserve">3. Разработать методику адаптивной фильтрации уровня сигнала RSSI по критерию Колмогорова–Смирнова.</w:t>
      </w:r>
      <w:r>
        <w:t xml:space="preserve"> </w:t>
      </w:r>
      <w:r>
        <w:t xml:space="preserve">4. Разработать методику подбора нейросети‑суррогата и оптимизации расстановки генетическим алгоритмом.</w:t>
      </w:r>
      <w:r>
        <w:t xml:space="preserve"> </w:t>
      </w:r>
      <w:r>
        <w:t xml:space="preserve">5. Создать экспертную систему и проверить её на модели участка и опытном образце системы связи ССД‑LoRaWAN‑РТ.</w:t>
      </w:r>
    </w:p>
    <w:bookmarkEnd w:id="22"/>
    <w:bookmarkStart w:id="23" w:name="Xc66900d4327a29aa7190caf6ade82e9ceca00f9"/>
    <w:p>
      <w:pPr>
        <w:pStyle w:val="Heading3"/>
      </w:pPr>
      <w:r>
        <w:t xml:space="preserve">Слайд 4. Положения, выносимые на защиту [2:05–2:45]</w:t>
      </w:r>
    </w:p>
    <w:p>
      <w:pPr>
        <w:pStyle w:val="FirstParagraph"/>
      </w:pPr>
      <w:r>
        <w:t xml:space="preserve">На защиту выносятся четыре положения: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Первое</w:t>
      </w:r>
      <w:r>
        <w:t xml:space="preserve"> </w:t>
      </w:r>
      <w:r>
        <w:t xml:space="preserve">— модель расположения радиомаяков. Она связывает вероятность корректной локализации с баллом обнаружения FMEA, числом RPN и долей пропущенных несоответствий.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Второе</w:t>
      </w:r>
      <w:r>
        <w:t xml:space="preserve"> </w:t>
      </w:r>
      <w:r>
        <w:t xml:space="preserve">— методика адаптивной фильтрации RSSI с детектором разладки по критерию Колмогорова–Смирнова. Её СКО в 1,7 раза ниже, чем у фильтра Калмана.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Третье</w:t>
      </w:r>
      <w:r>
        <w:t xml:space="preserve"> </w:t>
      </w:r>
      <w:r>
        <w:t xml:space="preserve">— методика подбора нейросети‑суррогата и оптимизации расстановки с её помощью. Поиск ускоряется в 12 раз.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Четвёртое</w:t>
      </w:r>
      <w:r>
        <w:t xml:space="preserve"> </w:t>
      </w:r>
      <w:r>
        <w:t xml:space="preserve">— экспертная система рекомендаций. По сравнению с сеткой она снижает суммарный RPN на 5,8 %, а пропуск брака — на 7,2 %.</w:t>
      </w:r>
    </w:p>
    <w:bookmarkEnd w:id="23"/>
    <w:bookmarkStart w:id="24" w:name="X88bba36becf693b57d875d5516169e6d74fc12c"/>
    <w:p>
      <w:pPr>
        <w:pStyle w:val="Heading3"/>
      </w:pPr>
      <w:r>
        <w:t xml:space="preserve">Слайд 5. Соответствие паспорту специальности [2:45–3:05]</w:t>
      </w:r>
    </w:p>
    <w:p>
      <w:pPr>
        <w:pStyle w:val="FirstParagraph"/>
      </w:pPr>
      <w:r>
        <w:t xml:space="preserve">Положения соответствуют паспорту специальности 2.5.22:</w:t>
      </w:r>
      <w:r>
        <w:t xml:space="preserve"> </w:t>
      </w:r>
      <w:r>
        <w:t xml:space="preserve">- модель — пунктам 1, 5 и 7: модели процессов управления качеством, оценка качества и управление рисками;</w:t>
      </w:r>
      <w:r>
        <w:t xml:space="preserve"> </w:t>
      </w:r>
      <w:r>
        <w:t xml:space="preserve">- фильтрация — пункту 8, статистический инструментарий;</w:t>
      </w:r>
      <w:r>
        <w:t xml:space="preserve"> </w:t>
      </w:r>
      <w:r>
        <w:t xml:space="preserve">- нейросеть и оптимизация — пунктам 9 и 1;</w:t>
      </w:r>
      <w:r>
        <w:t xml:space="preserve"> </w:t>
      </w:r>
      <w:r>
        <w:t xml:space="preserve">- экспертная система — пункту 16, экспертные системы в организации производственных процессов.</w:t>
      </w:r>
    </w:p>
    <w:bookmarkEnd w:id="24"/>
    <w:bookmarkStart w:id="25" w:name="слайд-6.-научная-новизна-305355"/>
    <w:p>
      <w:pPr>
        <w:pStyle w:val="Heading3"/>
      </w:pPr>
      <w:r>
        <w:t xml:space="preserve">Слайд 6. Научная новизна [3:05–3:55]</w:t>
      </w:r>
    </w:p>
    <w:p>
      <w:pPr>
        <w:pStyle w:val="FirstParagraph"/>
      </w:pPr>
      <w:r>
        <w:t xml:space="preserve">Новизна по каждому положению: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Первое:</w:t>
      </w:r>
      <w:r>
        <w:t xml:space="preserve"> </w:t>
      </w:r>
      <w:r>
        <w:t xml:space="preserve">вероятность корректной локализации впервые преобразована в балл обнаружения FMEA, RPN и долю пропущенных несоответствий. Поэтому расстановку можно оценивать по показателям качества, а не только по радиотехническим.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Второе:</w:t>
      </w:r>
      <w:r>
        <w:t xml:space="preserve"> </w:t>
      </w:r>
      <w:r>
        <w:t xml:space="preserve">детектор разладки построен на двухвыборочном критерии Колмогорова–Смирнова и дополнительно проверяет сдвиг верхнего квартиля. Благодаря этому он устойчив к односторонним импульсным помехам от сварки.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Третье:</w:t>
      </w:r>
      <w:r>
        <w:t xml:space="preserve"> </w:t>
      </w:r>
      <w:r>
        <w:t xml:space="preserve">предложен интегральный критерий подбора нейросети «точность — обобщение — быстродействие». Какую роль может играть суррогат, определяет КС‑проверка адекватности.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Четвёртое:</w:t>
      </w:r>
      <w:r>
        <w:t xml:space="preserve"> </w:t>
      </w:r>
      <w:r>
        <w:t xml:space="preserve">экспертная система объединяет продукционные правила с коэффициентами уверенности, метод анализа иерархий, нейросеть и генетический алгоритм с риск‑ориентированной целевой функцией.</w:t>
      </w:r>
    </w:p>
    <w:bookmarkEnd w:id="25"/>
    <w:bookmarkStart w:id="26" w:name="слайд-7.-практическая-значимость-355440"/>
    <w:p>
      <w:pPr>
        <w:pStyle w:val="Heading3"/>
      </w:pPr>
      <w:r>
        <w:t xml:space="preserve">Слайд 7. Практическая значимость [3:55–4:40]</w:t>
      </w:r>
    </w:p>
    <w:p>
      <w:pPr>
        <w:pStyle w:val="FirstParagraph"/>
      </w:pPr>
      <w:r>
        <w:t xml:space="preserve">При том же числе маяков рекомендации экспертной системы дают:</w:t>
      </w:r>
      <w:r>
        <w:t xml:space="preserve"> </w:t>
      </w:r>
      <w:r>
        <w:t xml:space="preserve">- суммарный RPN — на 5,8 % ниже, чем при сетке;</w:t>
      </w:r>
      <w:r>
        <w:t xml:space="preserve"> </w:t>
      </w:r>
      <w:r>
        <w:t xml:space="preserve">- пропуск несоответствий — на 7,2 % ниже, чем при сетке, и на 57 % ниже, чем на участке без маяков;</w:t>
      </w:r>
      <w:r>
        <w:t xml:space="preserve"> </w:t>
      </w:r>
      <w:r>
        <w:t xml:space="preserve">- обобщённый показатель качества K — рост с 0,61 до 0,64.</w:t>
      </w:r>
    </w:p>
    <w:p>
      <w:pPr>
        <w:pStyle w:val="BodyText"/>
      </w:pPr>
      <w:r>
        <w:t xml:space="preserve">Есть и экономический эффект. 28 маяков по рекомендации системы дают тот же уровень риска, что сетка из 36 маяков.</w:t>
      </w:r>
    </w:p>
    <w:p>
      <w:pPr>
        <w:pStyle w:val="BodyText"/>
      </w:pPr>
      <w:r>
        <w:t xml:space="preserve">Правила базы знаний использованы при разработке технических требований, технического задания по ГОСТ 34.602‑2020 и программы испытаний системы связи ССД‑LoRaWAN‑РТ. Прототип экспертной системы получает план участка и FMEA, а выдаёт технологию, схему, координаты маяков и FMEA «до» и «после». Программный комплекс подготовлен к регистрации.</w:t>
      </w:r>
    </w:p>
    <w:bookmarkEnd w:id="26"/>
    <w:bookmarkStart w:id="27" w:name="Xf2b361b0b845523b766b0076041e0816a33e696"/>
    <w:p>
      <w:pPr>
        <w:pStyle w:val="Heading3"/>
      </w:pPr>
      <w:r>
        <w:t xml:space="preserve">Слайд 8. Структура и логика работы [4:40–5:15]</w:t>
      </w:r>
    </w:p>
    <w:p>
      <w:pPr>
        <w:pStyle w:val="FirstParagraph"/>
      </w:pPr>
      <w:r>
        <w:t xml:space="preserve">Работа состоит из четырёх глав:</w:t>
      </w:r>
      <w:r>
        <w:t xml:space="preserve"> </w:t>
      </w:r>
      <w:r>
        <w:t xml:space="preserve">- в первой — анализ технологий и постановка задачи;</w:t>
      </w:r>
      <w:r>
        <w:t xml:space="preserve"> </w:t>
      </w:r>
      <w:r>
        <w:t xml:space="preserve">- во второй — модель и её калибровка (положение 1);</w:t>
      </w:r>
      <w:r>
        <w:t xml:space="preserve"> </w:t>
      </w:r>
      <w:r>
        <w:t xml:space="preserve">- в третьей — фильтрация, нейросеть и генетический алгоритм (положения 2 и 3);</w:t>
      </w:r>
      <w:r>
        <w:t xml:space="preserve"> </w:t>
      </w:r>
      <w:r>
        <w:t xml:space="preserve">- в четвёртой — экспертная система и её проверка (положение 4).</w:t>
      </w:r>
    </w:p>
    <w:p>
      <w:pPr>
        <w:pStyle w:val="BodyText"/>
      </w:pPr>
      <w:r>
        <w:t xml:space="preserve">Логика расчёта показана внизу слайда. На вход поступают план участка, FMEA и требования. Модель рассчитывает вероятность корректной локализации, по ней — новый балл D и RPN. Фильтр снижает шум, нейросеть и генетический алгоритм подбирают координаты. На выходе экспертная система выдаёт рекомендации.</w:t>
      </w:r>
    </w:p>
    <w:p>
      <w:pPr>
        <w:pStyle w:val="BodyText"/>
      </w:pPr>
      <w:r>
        <w:t xml:space="preserve">Экспериментальная база — имитационная модель участка 72 на 36 метров с семью зонами (расчёт методом Монте‑Карло) и опытный образец системы связи. Образец испытан с 15 сентября по 16 октября 2026 года.</w:t>
      </w:r>
    </w:p>
    <w:bookmarkEnd w:id="27"/>
    <w:bookmarkStart w:id="28" w:name="X86508adc7bbfe92cc29e6922258dcc612e0e84f"/>
    <w:p>
      <w:pPr>
        <w:pStyle w:val="Heading3"/>
      </w:pPr>
      <w:r>
        <w:t xml:space="preserve">Слайд 9. Модель расположения радиомаяков [5:15–6:10]</w:t>
      </w:r>
    </w:p>
    <w:p>
      <w:pPr>
        <w:pStyle w:val="FirstParagraph"/>
      </w:pPr>
      <w:r>
        <w:t xml:space="preserve">Это центральная часть работы. Уровень сигнала каждого маяка рассчитывается по логарифмической многостеночной модели. Затем вычисляется вероятность того, что метку «слышат» не менее трёх маяков, и точность её локализации. Нижняя граница точности оценивается неравенством Крамера–Рао.</w:t>
      </w:r>
    </w:p>
    <w:p>
      <w:pPr>
        <w:pStyle w:val="BodyText"/>
      </w:pPr>
      <w:r>
        <w:t xml:space="preserve">Ключевой показатель — вероятность корректной локализации. Это вероятность того, что метка обнаружена и её координата определена с погрешностью не больше допустимой для зоны.</w:t>
      </w:r>
    </w:p>
    <w:p>
      <w:pPr>
        <w:pStyle w:val="BodyText"/>
      </w:pPr>
      <w:r>
        <w:t xml:space="preserve">Дальше идёт переход к качеству. Исходный балл обнаружения FMEA переводится в вероятность выявления несоответствия. Радиоконтроль повышает эту вероятность пропорционально вероятности корректной локализации. Так получаются новый балл D′, новый RPN′ и доля несоответствий, пропущенных к потребителю, в ppm.</w:t>
      </w:r>
    </w:p>
    <w:p>
      <w:pPr>
        <w:pStyle w:val="BodyText"/>
      </w:pPr>
      <w:r>
        <w:t xml:space="preserve">Модель откалибрована по натурным данным: показатель затухания равен 2,39 ± 0,14 при R² = 0,986. Веса обобщённого показателя K получены методом анализа иерархий, коэффициент согласованности 0,015 — меньше допустимых 0,1.</w:t>
      </w:r>
    </w:p>
    <w:bookmarkEnd w:id="28"/>
    <w:bookmarkStart w:id="29" w:name="слайд-10.-ксадаптивная-фильтрация-610700"/>
    <w:p>
      <w:pPr>
        <w:pStyle w:val="Heading3"/>
      </w:pPr>
      <w:r>
        <w:t xml:space="preserve">Слайд 10. КС‑адаптивная фильтрация [6:10–7:00]</w:t>
      </w:r>
    </w:p>
    <w:p>
      <w:pPr>
        <w:pStyle w:val="FirstParagraph"/>
      </w:pPr>
      <w:r>
        <w:t xml:space="preserve">Второе положение. Сигнал маяка в цехе сильно зашумлён, а при сварке помехи импульсные и односторонние. Обычный фильтр Калмана с постоянными параметрами в такой ситуации либо медленно реагирует, либо пропускает выбросы.</w:t>
      </w:r>
    </w:p>
    <w:p>
      <w:pPr>
        <w:pStyle w:val="BodyText"/>
      </w:pPr>
      <w:r>
        <w:t xml:space="preserve">В предложенной методике две выборки — «старая» и «свежая» — сравниваются по статистике Смирнова при уровне значимости 0,001. Если обнаружена разладка, фильтр быстро перестраивается. Дополнительная проверка сдвига верхнего квартиля отделяет реальное изменение уровня от сварочной помехи.</w:t>
      </w:r>
    </w:p>
    <w:p>
      <w:pPr>
        <w:pStyle w:val="BodyText"/>
      </w:pPr>
      <w:r>
        <w:t xml:space="preserve">Результаты в таблице:</w:t>
      </w:r>
      <w:r>
        <w:t xml:space="preserve"> </w:t>
      </w:r>
      <w:r>
        <w:t xml:space="preserve">- без фильтрации СКО — 6,42 дБ;</w:t>
      </w:r>
      <w:r>
        <w:t xml:space="preserve"> </w:t>
      </w:r>
      <w:r>
        <w:t xml:space="preserve">- у фильтра Калмана — 1,92 дБ;</w:t>
      </w:r>
      <w:r>
        <w:t xml:space="preserve"> </w:t>
      </w:r>
      <w:r>
        <w:t xml:space="preserve">- у предложенного фильтра — 1,14 дБ, то есть в 1,7 раза меньше, чем у Калмана.</w:t>
      </w:r>
    </w:p>
    <w:p>
      <w:pPr>
        <w:pStyle w:val="BodyText"/>
      </w:pPr>
      <w:r>
        <w:t xml:space="preserve">При сварке выигрыш ещё заметнее: 1,87 дБ против 4,90. Разладка обнаружена в 19 из 20 реализаций, в среднем за 2 секунды. Ложных тревог — всего четыре за 3,3 часа.</w:t>
      </w:r>
    </w:p>
    <w:bookmarkEnd w:id="29"/>
    <w:bookmarkStart w:id="30" w:name="Xcbd05b336bb1136716147cd418c1294a8a59a2e"/>
    <w:p>
      <w:pPr>
        <w:pStyle w:val="Heading3"/>
      </w:pPr>
      <w:r>
        <w:t xml:space="preserve">Слайд 11. Нейросеть‑суррогат и оптимизация [7:00–7:50]</w:t>
      </w:r>
    </w:p>
    <w:p>
      <w:pPr>
        <w:pStyle w:val="FirstParagraph"/>
      </w:pPr>
      <w:r>
        <w:t xml:space="preserve">Третье положение. Оценивать каждую расстановку методом Монте‑Карло в генетическом алгоритме слишком долго. Поэтому точность локализации прогнозирует нейросеть‑суррогат.</w:t>
      </w:r>
    </w:p>
    <w:p>
      <w:pPr>
        <w:pStyle w:val="BodyText"/>
      </w:pPr>
      <w:r>
        <w:t xml:space="preserve">По интегральному критерию выбран многослойный персептрон 15‑64‑32‑1 с функцией активации tanh. Его RMSE — 2,10 м, тогда как граница Крамера–Рао — 3,57 м.</w:t>
      </w:r>
    </w:p>
    <w:p>
      <w:pPr>
        <w:pStyle w:val="BodyText"/>
      </w:pPr>
      <w:r>
        <w:t xml:space="preserve">Принципиальный результат дала проверка критерием Колмогорова–Смирнова. По зонам суррогат точен, R² = 0,91. Но распределение ошибок по точкам отличается от эталонного: D = 0,080 больше критического 0,051. Вывод: нейросеть годится для поиска, но не для окончательной оценки.</w:t>
      </w:r>
    </w:p>
    <w:p>
      <w:pPr>
        <w:pStyle w:val="BodyText"/>
      </w:pPr>
      <w:r>
        <w:t xml:space="preserve">Показательный пример: без уточнения генетический алгоритм «эксплуатирует» ошибки суррогата. По нейросети выигрыш +23 %, а по Монте‑Карло — всего +2 %. Поэтому принята схема «поиск по нейросети — уточнение по Монте‑Карло». Она ускоряет поиск в 12 раз без потери достоверности.</w:t>
      </w:r>
    </w:p>
    <w:bookmarkEnd w:id="30"/>
    <w:bookmarkStart w:id="31" w:name="слайд-12.-экспертная-система-750835"/>
    <w:p>
      <w:pPr>
        <w:pStyle w:val="Heading3"/>
      </w:pPr>
      <w:r>
        <w:t xml:space="preserve">Слайд 12. Экспертная система [7:50–8:35]</w:t>
      </w:r>
    </w:p>
    <w:p>
      <w:pPr>
        <w:pStyle w:val="FirstParagraph"/>
      </w:pPr>
      <w:r>
        <w:t xml:space="preserve">Четвёртое положение. Экспертная система рекомендует технологию и схему размещения для каждой зоны. Склады получают BLE с линейной схемой вдоль проходов. Механообработка, термообработка и сварка — сетку на колоннах. На сборке сетка уплотняется у постов. Зона ОТК, самая критичная, получает UWB по периметру и «ворота».</w:t>
      </w:r>
    </w:p>
    <w:p>
      <w:pPr>
        <w:pStyle w:val="BodyText"/>
      </w:pPr>
      <w:r>
        <w:t xml:space="preserve">В базе знаний 13 продукционных правил, пять из них получены на испытаниях опытного образца ССД‑LoRaWAN‑РТ. Например:</w:t>
      </w:r>
      <w:r>
        <w:t xml:space="preserve"> </w:t>
      </w:r>
      <w:r>
        <w:t xml:space="preserve">- при двух и более узлах с подтверждением 9,5 % подтверждений теряется из‑за коллизий, поэтому рекомендуется режим без подтверждения;</w:t>
      </w:r>
      <w:r>
        <w:t xml:space="preserve"> </w:t>
      </w:r>
      <w:r>
        <w:t xml:space="preserve">- второе окно приёма на скорости DR3 сокращает задержку команды с 1,3–2,8 с до 0,15–0,4 с.</w:t>
      </w:r>
    </w:p>
    <w:p>
      <w:pPr>
        <w:pStyle w:val="BodyText"/>
      </w:pPr>
      <w:r>
        <w:t xml:space="preserve">Коэффициенты уверенности правил комбинируются по классической формуле. Технология выбирается в два шага: сначала отсев по точности, затем ранжирование.</w:t>
      </w:r>
    </w:p>
    <w:bookmarkEnd w:id="31"/>
    <w:bookmarkStart w:id="32" w:name="слайд-13.-результаты-применения-835925"/>
    <w:p>
      <w:pPr>
        <w:pStyle w:val="Heading3"/>
      </w:pPr>
      <w:r>
        <w:t xml:space="preserve">Слайд 13. Результаты применения [8:35–9:25]</w:t>
      </w:r>
    </w:p>
    <w:p>
      <w:pPr>
        <w:pStyle w:val="FirstParagraph"/>
      </w:pPr>
      <w:r>
        <w:t xml:space="preserve">Сравнение выполнено при одинаковом числе маяков — 36:</w:t>
      </w:r>
      <w:r>
        <w:t xml:space="preserve"> </w:t>
      </w:r>
      <w:r>
        <w:t xml:space="preserve">- без маяков суммарный RPN — 1365, пропуск — 864 ppm;</w:t>
      </w:r>
      <w:r>
        <w:t xml:space="preserve"> </w:t>
      </w:r>
      <w:r>
        <w:t xml:space="preserve">- равномерная сетка: 749 и 399 ppm;</w:t>
      </w:r>
      <w:r>
        <w:t xml:space="preserve"> </w:t>
      </w:r>
      <w:r>
        <w:t xml:space="preserve">- предлагаемая экспертная система: 706 и 370 ppm, показатель K = 0,639;</w:t>
      </w:r>
      <w:r>
        <w:t xml:space="preserve"> </w:t>
      </w:r>
      <w:r>
        <w:t xml:space="preserve">- система с UWB в зоне ОТК: RPN снижается до 668, K растёт до 0,655.</w:t>
      </w:r>
    </w:p>
    <w:p>
      <w:pPr>
        <w:pStyle w:val="BodyText"/>
      </w:pPr>
      <w:r>
        <w:t xml:space="preserve">Риск‑ориентированная функция переносит маяки в критичные зоны. Вероятность выявления в ОТК растёт с 0,55 до 0,64. При увеличении числа маяков сетка выходит на насыщение, а экспертная система продолжает снижать риск. Разрыв растёт с 6 до 10,5 %.</w:t>
      </w:r>
    </w:p>
    <w:p>
      <w:pPr>
        <w:pStyle w:val="BodyText"/>
      </w:pPr>
      <w:r>
        <w:t xml:space="preserve">Важно, что без фильтрации оптимизация выигрыша не даёт: методики работают только в комплексе. Все варианты проверены независимым моделированием Монте‑Карло — 40 реализаций по 2592 точки.</w:t>
      </w:r>
    </w:p>
    <w:bookmarkEnd w:id="32"/>
    <w:bookmarkStart w:id="33" w:name="слайд-14.-публикации-925950"/>
    <w:p>
      <w:pPr>
        <w:pStyle w:val="Heading3"/>
      </w:pPr>
      <w:r>
        <w:t xml:space="preserve">Слайд 14. Публикации [9:25–9:50]</w:t>
      </w:r>
    </w:p>
    <w:p>
      <w:pPr>
        <w:pStyle w:val="FirstParagraph"/>
      </w:pPr>
      <w:r>
        <w:t xml:space="preserve">По теме диссертации опубликовано три статьи в изданиях из перечня ВАК, восемь работ в РИНЦ и трое тезисов. Получены патент на полезную модель и четыре свидетельства на программы для ЭВМ. Сейчас статьи ВАК закрывают второе положение частично. До защиты я планирую подготовить публикации ВАК по модели, по нейросети с генетическим алгоритмом и по экспертной системе.</w:t>
      </w:r>
    </w:p>
    <w:bookmarkEnd w:id="33"/>
    <w:bookmarkStart w:id="34" w:name="слайд-15.-заключение-9501000"/>
    <w:p>
      <w:pPr>
        <w:pStyle w:val="Heading3"/>
      </w:pPr>
      <w:r>
        <w:t xml:space="preserve">Слайд 15. Заключение [9:50–10:00]</w:t>
      </w:r>
    </w:p>
    <w:p>
      <w:pPr>
        <w:pStyle w:val="FirstParagraph"/>
      </w:pPr>
      <w:r>
        <w:t xml:space="preserve">Таким образом, в работе решена научная задача: разработаны методики и модель расположения радиомаяков, которые при заданном бюджете оборудования повышают качество продукции и снижают производственный риск. Благодарю за внимание! Готов ответить на ваши вопросы.</w:t>
      </w:r>
    </w:p>
    <w:p>
      <w:r>
        <w:pict>
          <v:rect style="width:0;height:1.5pt" o:hralign="center" o:hrstd="t" o:hr="t"/>
        </w:pict>
      </w:r>
    </w:p>
    <w:bookmarkEnd w:id="34"/>
    <w:bookmarkStart w:id="35" w:name="если-не-укладываетесь-в-10-минут"/>
    <w:p>
      <w:pPr>
        <w:pStyle w:val="Heading2"/>
      </w:pPr>
      <w:r>
        <w:t xml:space="preserve">Если не укладываетесь в 10 минут</w:t>
      </w:r>
    </w:p>
    <w:p>
      <w:pPr>
        <w:pStyle w:val="FirstParagraph"/>
      </w:pPr>
      <w:r>
        <w:t xml:space="preserve">Что можно сократить без потери смысла: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Слайд 5 (паспорт):</w:t>
      </w:r>
      <w:r>
        <w:t xml:space="preserve"> </w:t>
      </w:r>
      <w:r>
        <w:t xml:space="preserve">«Соответствие паспорту специальности приведено на слайде».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Слайд 8 (структура):</w:t>
      </w:r>
      <w:r>
        <w:t xml:space="preserve"> </w:t>
      </w:r>
      <w:r>
        <w:t xml:space="preserve">только последний абзац про экспериментальную базу.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Слайд 12:</w:t>
      </w:r>
      <w:r>
        <w:t xml:space="preserve"> </w:t>
      </w:r>
      <w:r>
        <w:t xml:space="preserve">опустить примеры правил LoRaWAN.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2026-10-19T12:15:06Z</dcterms:created>
  <dcterms:modified xsi:type="dcterms:W3CDTF">2026-10-19T12:15:06Z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