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9" w:name="речь-на-предзащите-10-минут-27-слайдов"/>
    <w:p>
      <w:pPr>
        <w:pStyle w:val="Heading1"/>
      </w:pPr>
      <w:r>
        <w:t xml:space="preserve">Речь на предзащите (≈10 минут, 27 слайдов)</w:t>
      </w:r>
    </w:p>
    <w:p>
      <w:pPr>
        <w:pStyle w:val="FirstParagraph"/>
      </w:pPr>
      <w:r>
        <w:rPr>
          <w:bCs/>
          <w:b/>
        </w:rPr>
        <w:t xml:space="preserve">Тема:</w:t>
      </w:r>
      <w:r>
        <w:t xml:space="preserve"> </w:t>
      </w:r>
      <w:r>
        <w:t xml:space="preserve">«Методики и модель расположения радиомаяков на производстве для улучшения качества выпускаемой продукции и минимизации рисков»</w:t>
      </w:r>
      <w:r>
        <w:t xml:space="preserve"> </w:t>
      </w:r>
      <w:r>
        <w:rPr>
          <w:bCs/>
          <w:b/>
        </w:rPr>
        <w:t xml:space="preserve">Специальность:</w:t>
      </w:r>
      <w:r>
        <w:t xml:space="preserve"> </w:t>
      </w:r>
      <w:r>
        <w:t xml:space="preserve">2.5.22. Управление качеством продукции. Стандартизация. Организация производства</w:t>
      </w:r>
      <w:r>
        <w:t xml:space="preserve"> </w:t>
      </w:r>
      <w:r>
        <w:rPr>
          <w:bCs/>
          <w:b/>
        </w:rPr>
        <w:t xml:space="preserve">Соискатель:</w:t>
      </w:r>
      <w:r>
        <w:t xml:space="preserve"> </w:t>
      </w:r>
      <w:r>
        <w:t xml:space="preserve">Егоров А. Э. ·</w:t>
      </w:r>
      <w:r>
        <w:t xml:space="preserve"> </w:t>
      </w:r>
      <w:r>
        <w:rPr>
          <w:bCs/>
          <w:b/>
        </w:rPr>
        <w:t xml:space="preserve">Научный руководитель:</w:t>
      </w:r>
      <w:r>
        <w:t xml:space="preserve"> </w:t>
      </w:r>
      <w:r>
        <w:t xml:space="preserve">к. т. н., доцент Епифанцев К. В.</w:t>
      </w:r>
    </w:p>
    <w:p>
      <w:pPr>
        <w:pStyle w:val="BodyText"/>
      </w:pPr>
      <w:r>
        <w:rPr>
          <w:iCs/>
          <w:i/>
        </w:rPr>
        <w:t xml:space="preserve">Время указано в квадратных скобках. Темп около 135 слов в минуту. Слайды 4, 5 и 26 проходятся бегло: комиссия читает их сама.</w:t>
      </w:r>
    </w:p>
    <w:p>
      <w:r>
        <w:pict>
          <v:rect style="width:0;height:1.5pt" o:hralign="center" o:hrstd="t" o:hr="t"/>
        </w:pict>
      </w:r>
    </w:p>
    <w:bookmarkStart w:id="20" w:name="слайд-1.-титульный-000015"/>
    <w:p>
      <w:pPr>
        <w:pStyle w:val="Heading3"/>
      </w:pPr>
      <w:r>
        <w:t xml:space="preserve">Слайд 1. Титульный [0:00–0:15]</w:t>
      </w:r>
    </w:p>
    <w:p>
      <w:pPr>
        <w:pStyle w:val="FirstParagraph"/>
      </w:pPr>
      <w:r>
        <w:t xml:space="preserve">Уважаемый председатель, уважаемые члены комиссии! Вашему вниманию представляется диссертация на тему «Методики и модель расположения радиомаяков на производстве для улучшения качества выпускаемой продукции и минимизации рисков». Специальность — 2.5.22. Научный руководитель — кандидат технических наук, доцент Кирилл Валерьевич Епифанцев.</w:t>
      </w:r>
    </w:p>
    <w:bookmarkEnd w:id="20"/>
    <w:bookmarkStart w:id="21" w:name="слайд-2.-актуальность-015100"/>
    <w:p>
      <w:pPr>
        <w:pStyle w:val="Heading3"/>
      </w:pPr>
      <w:r>
        <w:t xml:space="preserve">Слайд 2. Актуальность [0:15–1:00]</w:t>
      </w:r>
    </w:p>
    <w:p>
      <w:pPr>
        <w:pStyle w:val="FirstParagraph"/>
      </w:pPr>
      <w:r>
        <w:t xml:space="preserve">По ГОСТ Р ИСО 9001, пункт 8.5.2, предприятие обязано идентифицировать продукцию и её статус на всех стадиях производства. Для этого всё шире используют радиомаяки — BLE, UWB, LoRaWAN. С их помощью отслеживают изделия, оснастку и персонал.</w:t>
      </w:r>
    </w:p>
    <w:p>
      <w:pPr>
        <w:pStyle w:val="BodyText"/>
      </w:pPr>
      <w:r>
        <w:t xml:space="preserve">Однако места установки маяков выбирают «по опыту» — сеткой или по одному на зону. В итоге термообработка, сварка и ОТК покрыты не лучше склада. Нарушения маршрута, времени операций и обход контроля пропускаются.</w:t>
      </w:r>
    </w:p>
    <w:p>
      <w:pPr>
        <w:pStyle w:val="BodyText"/>
      </w:pPr>
      <w:r>
        <w:t xml:space="preserve">Ключевой тезис работы: расположение маяков определяет балл обнаружения D в FMEA, а значит, риск и долю несоответствующей продукции. Внизу слайда — результат на модельном участке. Без маяков пропускается 864 ppm. Равномерная сетка из 36 маяков даёт 399 ppm. Те же 36 маяков, расставленные по рекомендации экспертной системы, — 370 ppm. Методик, которые связывают расстановку с показателями качества, до сих пор нет.</w:t>
      </w:r>
    </w:p>
    <w:bookmarkEnd w:id="21"/>
    <w:bookmarkStart w:id="22" w:name="слайд-3.-цель-объект-и-предмет-100125"/>
    <w:p>
      <w:pPr>
        <w:pStyle w:val="Heading3"/>
      </w:pPr>
      <w:r>
        <w:t xml:space="preserve">Слайд 3. Цель, объект и предмет [1:00–1:25]</w:t>
      </w:r>
    </w:p>
    <w:p>
      <w:pPr>
        <w:pStyle w:val="FirstParagraph"/>
      </w:pPr>
      <w:r>
        <w:t xml:space="preserve">Цель работы — повысить качество продукции и снизить производственные риски за счёт научно обоснованного выбора способов и мест расположения радиомаяков. Этот выбор реализован в экспертной системе.</w:t>
      </w:r>
    </w:p>
    <w:p>
      <w:pPr>
        <w:pStyle w:val="BodyText"/>
      </w:pPr>
      <w:r>
        <w:t xml:space="preserve">Объект исследования — процесс радиочастотной идентификации и локализации объектов на машиностроительном участке. Предмет — модели, методики и алгоритмы выбора мест расположения маяков, связанные с показателями качества и риска.</w:t>
      </w:r>
    </w:p>
    <w:p>
      <w:pPr>
        <w:pStyle w:val="BodyText"/>
      </w:pPr>
      <w:r>
        <w:t xml:space="preserve">Научная задача — обеспечить рост обобщённого показателя качества и снижение приоритетного числа риска при заданном бюджете оборудования.</w:t>
      </w:r>
    </w:p>
    <w:bookmarkEnd w:id="22"/>
    <w:bookmarkStart w:id="23" w:name="слайд-4.-задачи-и-методы-125140"/>
    <w:p>
      <w:pPr>
        <w:pStyle w:val="Heading3"/>
      </w:pPr>
      <w:r>
        <w:t xml:space="preserve">Слайд 4. Задачи и методы [1:25–1:40]</w:t>
      </w:r>
    </w:p>
    <w:p>
      <w:pPr>
        <w:pStyle w:val="FirstParagraph"/>
      </w:pPr>
      <w:r>
        <w:t xml:space="preserve">Для этого решено пять задач — они перечислены на слайде. Использованы методы квалиметрии, МАИ, FMEA, Монте‑Карло, критерии Колмогорова и Смирнова, фильтр Калмана, нейросети, генетический алгоритм и продукционные экспертные системы. Расчёты выполнены на Python, экспериментальная часть — на стенде ССД‑LoRaWAN‑РТ.</w:t>
      </w:r>
    </w:p>
    <w:bookmarkEnd w:id="23"/>
    <w:bookmarkStart w:id="24" w:name="слайд-5.-соответствие-паспорту-140150"/>
    <w:p>
      <w:pPr>
        <w:pStyle w:val="Heading3"/>
      </w:pPr>
      <w:r>
        <w:t xml:space="preserve">Слайд 5. Соответствие паспорту [1:40–1:50]</w:t>
      </w:r>
    </w:p>
    <w:p>
      <w:pPr>
        <w:pStyle w:val="FirstParagraph"/>
      </w:pPr>
      <w:r>
        <w:t xml:space="preserve">Результаты соответствуют пунктам 1, 5, 7, 8, 9 и 16 паспорта специальности 2.5.22. Соответствие показано в таблице.</w:t>
      </w:r>
    </w:p>
    <w:bookmarkEnd w:id="24"/>
    <w:bookmarkStart w:id="25" w:name="слайд-6.-научная-новизна-150225"/>
    <w:p>
      <w:pPr>
        <w:pStyle w:val="Heading3"/>
      </w:pPr>
      <w:r>
        <w:t xml:space="preserve">Слайд 6. Научная новизна [1:50–2:25]</w:t>
      </w:r>
    </w:p>
    <w:p>
      <w:pPr>
        <w:pStyle w:val="FirstParagraph"/>
      </w:pPr>
      <w:r>
        <w:t xml:space="preserve">Научная новизна состоит в четырёх результатах:</w:t>
      </w:r>
      <w:r>
        <w:t xml:space="preserve"> </w:t>
      </w:r>
      <w:r>
        <w:t xml:space="preserve">1.</w:t>
      </w:r>
      <w:r>
        <w:t xml:space="preserve"> </w:t>
      </w:r>
      <w:r>
        <w:rPr>
          <w:bCs/>
          <w:b/>
        </w:rPr>
        <w:t xml:space="preserve">Модель.</w:t>
      </w:r>
      <w:r>
        <w:t xml:space="preserve"> </w:t>
      </w:r>
      <w:r>
        <w:t xml:space="preserve">Вероятность корректной локализации впервые преобразуется в балл обнаружения FMEA, RPN и долю пропущенных несоответствий.</w:t>
      </w:r>
      <w:r>
        <w:t xml:space="preserve"> </w:t>
      </w:r>
      <w:r>
        <w:t xml:space="preserve">2.</w:t>
      </w:r>
      <w:r>
        <w:t xml:space="preserve"> </w:t>
      </w:r>
      <w:r>
        <w:rPr>
          <w:bCs/>
          <w:b/>
        </w:rPr>
        <w:t xml:space="preserve">Фильтрация.</w:t>
      </w:r>
      <w:r>
        <w:t xml:space="preserve"> </w:t>
      </w:r>
      <w:r>
        <w:t xml:space="preserve">Детектор разладки использует двухвыборочный критерий Колмогорова–Смирнова и проверку сдвига верхнего квартиля.</w:t>
      </w:r>
      <w:r>
        <w:t xml:space="preserve"> </w:t>
      </w:r>
      <w:r>
        <w:t xml:space="preserve">3.</w:t>
      </w:r>
      <w:r>
        <w:t xml:space="preserve"> </w:t>
      </w:r>
      <w:r>
        <w:rPr>
          <w:bCs/>
          <w:b/>
        </w:rPr>
        <w:t xml:space="preserve">Нейросеть‑суррогат.</w:t>
      </w:r>
      <w:r>
        <w:t xml:space="preserve"> </w:t>
      </w:r>
      <w:r>
        <w:t xml:space="preserve">Её подбирают по интегральному критерию «точность — обобщение — быстродействие» и проверяют на адекватность критерием КС.</w:t>
      </w:r>
      <w:r>
        <w:t xml:space="preserve"> </w:t>
      </w:r>
      <w:r>
        <w:t xml:space="preserve">4.</w:t>
      </w:r>
      <w:r>
        <w:t xml:space="preserve"> </w:t>
      </w:r>
      <w:r>
        <w:rPr>
          <w:bCs/>
          <w:b/>
        </w:rPr>
        <w:t xml:space="preserve">Экспертная система.</w:t>
      </w:r>
      <w:r>
        <w:t xml:space="preserve"> </w:t>
      </w:r>
      <w:r>
        <w:t xml:space="preserve">Она объединяет правила с коэффициентами уверенности, МАИ, нейросеть и генетический алгоритм с риск‑ориентированной целевой функцией.</w:t>
      </w:r>
    </w:p>
    <w:bookmarkEnd w:id="25"/>
    <w:bookmarkStart w:id="26" w:name="X376ca45280150ed297bde858a17ff847b953c50"/>
    <w:p>
      <w:pPr>
        <w:pStyle w:val="Heading3"/>
      </w:pPr>
      <w:r>
        <w:t xml:space="preserve">Слайд 7. Положения, выносимые на защиту [2:25–2:55]</w:t>
      </w:r>
    </w:p>
    <w:p>
      <w:pPr>
        <w:pStyle w:val="FirstParagraph"/>
      </w:pPr>
      <w:r>
        <w:t xml:space="preserve">На защиту выносятся:</w:t>
      </w:r>
      <w:r>
        <w:t xml:space="preserve"> </w:t>
      </w:r>
      <w:r>
        <w:t xml:space="preserve">- модель расположения маяков с обобщённым показателем качества;</w:t>
      </w:r>
      <w:r>
        <w:t xml:space="preserve"> </w:t>
      </w:r>
      <w:r>
        <w:t xml:space="preserve">- методика КС‑адаптивной фильтрации. Её СКО в 5,6 раза ниже необработанных измерений и в 1,7 раза ниже фильтра Калмана;</w:t>
      </w:r>
      <w:r>
        <w:t xml:space="preserve"> </w:t>
      </w:r>
      <w:r>
        <w:t xml:space="preserve">- методика подбора нейросети‑суррогата. Оценка поколения ГА ускоряется в 12 раз;</w:t>
      </w:r>
      <w:r>
        <w:t xml:space="preserve"> </w:t>
      </w:r>
      <w:r>
        <w:t xml:space="preserve">- экспертная система. Она снижает суммарный RPN на 5,8 %, а пропуск несоответствий — на 7,2 % по сравнению с сеткой.</w:t>
      </w:r>
    </w:p>
    <w:bookmarkEnd w:id="26"/>
    <w:bookmarkStart w:id="27" w:name="X368073853feb466d83e117f2fd1affc9f58c207"/>
    <w:p>
      <w:pPr>
        <w:pStyle w:val="Heading3"/>
      </w:pPr>
      <w:r>
        <w:t xml:space="preserve">Слайд 8. Объект: система прослеживаемости [2:55–3:20]</w:t>
      </w:r>
    </w:p>
    <w:p>
      <w:pPr>
        <w:pStyle w:val="FirstParagraph"/>
      </w:pPr>
      <w:r>
        <w:t xml:space="preserve">На слайде — структура системы прослеживаемости. Маяки BLE локализуют метки. Узлы LoRaWAN передают данные через ретранслятор на базовую станцию и сервер экспертной системы.</w:t>
      </w:r>
    </w:p>
    <w:p>
      <w:pPr>
        <w:pStyle w:val="BodyText"/>
      </w:pPr>
      <w:r>
        <w:t xml:space="preserve">Структура проверена на опытном образце ССД‑LoRaWAN‑РТ с 15 сентября по 16 октября 2026 года. Медиана обработки кадра — 30 мс. Все 20 кадров из 20 прошли без потерь. Обнаружено, что при двух узлах с подтверждением 9,5 % подтверждений теряется. Из этого получено правило П9 базы знаний.</w:t>
      </w:r>
    </w:p>
    <w:bookmarkEnd w:id="27"/>
    <w:bookmarkStart w:id="28" w:name="слайд-9.-концептуальная-модель-320340"/>
    <w:p>
      <w:pPr>
        <w:pStyle w:val="Heading3"/>
      </w:pPr>
      <w:r>
        <w:t xml:space="preserve">Слайд 9. Концептуальная модель [3:20–3:40]</w:t>
      </w:r>
    </w:p>
    <w:p>
      <w:pPr>
        <w:pStyle w:val="FirstParagraph"/>
      </w:pPr>
      <w:r>
        <w:t xml:space="preserve">Концептуальная модель связывает управляющие переменные — координаты, технологию, схему, параметры фильтра — с тремя уровнями показателей:</w:t>
      </w:r>
      <w:r>
        <w:t xml:space="preserve"> </w:t>
      </w:r>
      <w:r>
        <w:t xml:space="preserve">- радиосети: покрытие, точность;</w:t>
      </w:r>
      <w:r>
        <w:t xml:space="preserve"> </w:t>
      </w:r>
      <w:r>
        <w:t xml:space="preserve">- процесса: выявляемость отклонений;</w:t>
      </w:r>
      <w:r>
        <w:t xml:space="preserve"> </w:t>
      </w:r>
      <w:r>
        <w:t xml:space="preserve">- результирующими: риск и доля несоответствий.</w:t>
      </w:r>
    </w:p>
    <w:bookmarkEnd w:id="28"/>
    <w:bookmarkStart w:id="29" w:name="X1305a81f5da4b3401d3ff81b8d6d2e168f4602e"/>
    <w:p>
      <w:pPr>
        <w:pStyle w:val="Heading3"/>
      </w:pPr>
      <w:r>
        <w:t xml:space="preserve">Слайд 10. Модель: радиослой и локализация [3:40–4:10]</w:t>
      </w:r>
    </w:p>
    <w:p>
      <w:pPr>
        <w:pStyle w:val="FirstParagraph"/>
      </w:pPr>
      <w:r>
        <w:t xml:space="preserve">Уровень сигнала рассчитывается по многостеночной модели потерь, с учётом теневых и быстрых флуктуаций. Далее определяется вероятность того, что метку «слышат» не менее трёх маяков. Координаты находятся взвешенным МНК, нижняя граница точности — по Крамеру–Рао.</w:t>
      </w:r>
    </w:p>
    <w:p>
      <w:pPr>
        <w:pStyle w:val="BodyText"/>
      </w:pPr>
      <w:r>
        <w:t xml:space="preserve">Ключевой показатель — вероятность корректной локализации. Это вероятность того, что метка обнаружена и ошибка её координаты не превышает допустимой для зоны.</w:t>
      </w:r>
    </w:p>
    <w:bookmarkEnd w:id="29"/>
    <w:bookmarkStart w:id="30" w:name="X3e1f9ec35f60f4315f8def1a08d1d4fbbc8d726"/>
    <w:p>
      <w:pPr>
        <w:pStyle w:val="Heading3"/>
      </w:pPr>
      <w:r>
        <w:t xml:space="preserve">Слайд 11. Модель: выявляемость, риск, качество [4:10–4:45]</w:t>
      </w:r>
    </w:p>
    <w:p>
      <w:pPr>
        <w:pStyle w:val="FirstParagraph"/>
      </w:pPr>
      <w:r>
        <w:t xml:space="preserve">Это центральный переход работы — от радиотехники к качеству. Исходный балл D переводится в вероятность выявления несоответствия. Радиоконтроль повышает её пропорционально вероятности корректной локализации. Так получаются D′, RPN′ и пропуск в ppm.</w:t>
      </w:r>
    </w:p>
    <w:p>
      <w:pPr>
        <w:pStyle w:val="BodyText"/>
      </w:pPr>
      <w:r>
        <w:t xml:space="preserve">Обобщённый показатель K построен методом анализа иерархий. Наибольшие веса имеют снижение риска (0,42) и выявляемость (0,26). Коэффициент согласованности — 0,015. Целевая функция оптимизации риск‑ориентированная: она взвешивает зоны по их RPN.</w:t>
      </w:r>
    </w:p>
    <w:bookmarkEnd w:id="30"/>
    <w:bookmarkStart w:id="31" w:name="X481c95ed10d70145267b37c1a99ab5d03466587"/>
    <w:p>
      <w:pPr>
        <w:pStyle w:val="Heading3"/>
      </w:pPr>
      <w:r>
        <w:t xml:space="preserve">Слайд 12. Модельный участок и калибровка [4:45–5:10]</w:t>
      </w:r>
    </w:p>
    <w:p>
      <w:pPr>
        <w:pStyle w:val="FirstParagraph"/>
      </w:pPr>
      <w:r>
        <w:t xml:space="preserve">Модельный участок — 72 на 36 метров. На нём семь зон с баллами FMEA, 288 мест крепления и 2592 расчётные точки. Самые критичные зоны — термообработка (RPN 288) и сварка (280).</w:t>
      </w:r>
    </w:p>
    <w:p>
      <w:pPr>
        <w:pStyle w:val="BodyText"/>
      </w:pPr>
      <w:r>
        <w:t xml:space="preserve">Показатель затухания откалиброван по натурным испытаниям на дальностях 0,5–3 км: n = 2,39 ± 0,14 при R² = 0,986.</w:t>
      </w:r>
    </w:p>
    <w:bookmarkEnd w:id="31"/>
    <w:bookmarkStart w:id="32" w:name="слайд-13.-ксфильтр-методика-510535"/>
    <w:p>
      <w:pPr>
        <w:pStyle w:val="Heading3"/>
      </w:pPr>
      <w:r>
        <w:t xml:space="preserve">Слайд 13. КС‑фильтр: методика [5:10–5:35]</w:t>
      </w:r>
    </w:p>
    <w:p>
      <w:pPr>
        <w:pStyle w:val="FirstParagraph"/>
      </w:pPr>
      <w:r>
        <w:t xml:space="preserve">Второе положение. В цехе сигнал сильно зашумлён, а сварка даёт односторонние импульсные помехи. Фильтр сравнивает «старое» и «свежее» окна статистикой Смирнова. При разладке он быстро перестраивается, а импульсы стробирует. Проверка сдвига верхнего квартиля на 4 дБ отличает реальное изменение уровня от сварочной помехи.</w:t>
      </w:r>
    </w:p>
    <w:bookmarkEnd w:id="32"/>
    <w:bookmarkStart w:id="33" w:name="слайд-14.-ксфильтр-результаты-535600"/>
    <w:p>
      <w:pPr>
        <w:pStyle w:val="Heading3"/>
      </w:pPr>
      <w:r>
        <w:t xml:space="preserve">Слайд 14. КС‑фильтр: результаты [5:35–6:00]</w:t>
      </w:r>
    </w:p>
    <w:p>
      <w:pPr>
        <w:pStyle w:val="FirstParagraph"/>
      </w:pPr>
      <w:r>
        <w:t xml:space="preserve">Сравнение с шестью методами:</w:t>
      </w:r>
      <w:r>
        <w:t xml:space="preserve"> </w:t>
      </w:r>
      <w:r>
        <w:t xml:space="preserve">- КС‑адаптивный фильтр — СКО 1,14 дБ;</w:t>
      </w:r>
      <w:r>
        <w:t xml:space="preserve"> </w:t>
      </w:r>
      <w:r>
        <w:t xml:space="preserve">- фильтр Калмана — 1,92 дБ;</w:t>
      </w:r>
      <w:r>
        <w:t xml:space="preserve"> </w:t>
      </w:r>
      <w:r>
        <w:t xml:space="preserve">- без фильтрации — 6,42 дБ;</w:t>
      </w:r>
      <w:r>
        <w:t xml:space="preserve"> </w:t>
      </w:r>
      <w:r>
        <w:t xml:space="preserve">- при сварке — 1,87 дБ против 4,90 у Калмана.</w:t>
      </w:r>
    </w:p>
    <w:p>
      <w:pPr>
        <w:pStyle w:val="BodyText"/>
      </w:pPr>
      <w:r>
        <w:t xml:space="preserve">Разладка обнаружена в 19 из 20 реализаций за 2 секунды. Ложных срабатываний — 4 за 3,3 часа. Остаточная доля флуктуаций передаётся обратно в модель.</w:t>
      </w:r>
    </w:p>
    <w:bookmarkEnd w:id="33"/>
    <w:bookmarkStart w:id="34" w:name="X1b05d827a353c95b267d46f93ad53299bf6adab"/>
    <w:p>
      <w:pPr>
        <w:pStyle w:val="Heading3"/>
      </w:pPr>
      <w:r>
        <w:t xml:space="preserve">Слайд 15. Нейросеть‑суррогат: методика [6:00–6:20]</w:t>
      </w:r>
    </w:p>
    <w:p>
      <w:pPr>
        <w:pStyle w:val="FirstParagraph"/>
      </w:pPr>
      <w:r>
        <w:t xml:space="preserve">Третье положение. Монте‑Карло для каждой особи генетического алгоритма слишком медленный. Поэтому точность локализации прогнозирует нейросеть. Её обучают на 110 тысячах точек из 170 расстановок по 15 признакам и тестируют на 34 новых расстановках. Модель выбирают по интегральному критерию с учётом критерия Акаике.</w:t>
      </w:r>
    </w:p>
    <w:bookmarkEnd w:id="34"/>
    <w:bookmarkStart w:id="35" w:name="X19f883f0ae66751c55fe4f2476e23bd82bcc0f0"/>
    <w:p>
      <w:pPr>
        <w:pStyle w:val="Heading3"/>
      </w:pPr>
      <w:r>
        <w:t xml:space="preserve">Слайд 16. Нейросеть‑суррогат: результаты [6:20–6:50]</w:t>
      </w:r>
    </w:p>
    <w:p>
      <w:pPr>
        <w:pStyle w:val="FirstParagraph"/>
      </w:pPr>
      <w:r>
        <w:t xml:space="preserve">Выбран персептрон 15‑64‑32‑1. Его RMSE — 2,1 м, тогда как граница Крамера–Рао — 3,57 м.</w:t>
      </w:r>
    </w:p>
    <w:p>
      <w:pPr>
        <w:pStyle w:val="BodyText"/>
      </w:pPr>
      <w:r>
        <w:t xml:space="preserve">Принципиальный результат дала КС‑проверка. Средние по зонам совпадают с эталоном (R² = 0,91), но точечные распределения различаются (D = 0,080 &gt; 0,051). Отсюда роль суррогата: нейросеть используется для поиска, а окончательное решение проверяется методом Монте‑Карло.</w:t>
      </w:r>
    </w:p>
    <w:bookmarkEnd w:id="35"/>
    <w:bookmarkStart w:id="36" w:name="X310205db2ab6171a30edb7889d4849b4980a388"/>
    <w:p>
      <w:pPr>
        <w:pStyle w:val="Heading3"/>
      </w:pPr>
      <w:r>
        <w:t xml:space="preserve">Слайд 17. Суррогатно‑ассистированный ГА [6:50–7:10]</w:t>
      </w:r>
    </w:p>
    <w:p>
      <w:pPr>
        <w:pStyle w:val="FirstParagraph"/>
      </w:pPr>
      <w:r>
        <w:t xml:space="preserve">Генетический алгоритм выбирает 36 мест из 288. Размер популяции — 60, число поколений — 80, приспособленность вычисляется по нейросети. Затем пул лучших решений вместе с сеткой и экспертной расстановкой уточняется локальным поиском по Монте‑Карло. Без этого шага алгоритм «эксплуатирует» ошибки суррогата.</w:t>
      </w:r>
    </w:p>
    <w:bookmarkEnd w:id="36"/>
    <w:bookmarkStart w:id="37" w:name="X399e780f61563de041628059ec7d8c232511280"/>
    <w:p>
      <w:pPr>
        <w:pStyle w:val="Heading3"/>
      </w:pPr>
      <w:r>
        <w:t xml:space="preserve">Слайд 18. Экспертная система: база знаний [7:10–7:35]</w:t>
      </w:r>
    </w:p>
    <w:p>
      <w:pPr>
        <w:pStyle w:val="FirstParagraph"/>
      </w:pPr>
      <w:r>
        <w:t xml:space="preserve">Четвёртое положение. База знаний содержит 13 продукционных правил с коэффициентами уверенности. Например:</w:t>
      </w:r>
      <w:r>
        <w:t xml:space="preserve"> </w:t>
      </w:r>
      <w:r>
        <w:t xml:space="preserve">- для ОТК — UWB и «ворота»;</w:t>
      </w:r>
      <w:r>
        <w:t xml:space="preserve"> </w:t>
      </w:r>
      <w:r>
        <w:t xml:space="preserve">- для сварки — КС‑фильтр;</w:t>
      </w:r>
      <w:r>
        <w:t xml:space="preserve"> </w:t>
      </w:r>
      <w:r>
        <w:t xml:space="preserve">- при RPN′ &gt; 100 — добавить маяк в зону.</w:t>
      </w:r>
    </w:p>
    <w:p>
      <w:pPr>
        <w:pStyle w:val="BodyText"/>
      </w:pPr>
      <w:r>
        <w:t xml:space="preserve">Правила П9–П13 получены на испытаниях опытного образца. Среди них режим без подтверждений, второе окно приёма на DR3 и связка на 433 МГц.</w:t>
      </w:r>
    </w:p>
    <w:bookmarkEnd w:id="37"/>
    <w:bookmarkStart w:id="38" w:name="слайд-19.-алгоритм-работы-эс-735755"/>
    <w:p>
      <w:pPr>
        <w:pStyle w:val="Heading3"/>
      </w:pPr>
      <w:r>
        <w:t xml:space="preserve">Слайд 19. Алгоритм работы ЭС [7:35–7:55]</w:t>
      </w:r>
    </w:p>
    <w:p>
      <w:pPr>
        <w:pStyle w:val="FirstParagraph"/>
      </w:pPr>
      <w:r>
        <w:t xml:space="preserve">На вход экспертная система получает план участка, FMEA, требования к точности и бюджет. Дальше по шагам:</w:t>
      </w:r>
      <w:r>
        <w:t xml:space="preserve"> </w:t>
      </w:r>
      <w:r>
        <w:t xml:space="preserve">1. МАИ определяет веса.</w:t>
      </w:r>
      <w:r>
        <w:t xml:space="preserve"> </w:t>
      </w:r>
      <w:r>
        <w:t xml:space="preserve">2. База знаний выбирает технологию и схему.</w:t>
      </w:r>
      <w:r>
        <w:t xml:space="preserve"> </w:t>
      </w:r>
      <w:r>
        <w:t xml:space="preserve">3. Фильтр снижает шум.</w:t>
      </w:r>
      <w:r>
        <w:t xml:space="preserve"> </w:t>
      </w:r>
      <w:r>
        <w:t xml:space="preserve">4. Нейросеть и ГА находят координаты.</w:t>
      </w:r>
      <w:r>
        <w:t xml:space="preserve"> </w:t>
      </w:r>
      <w:r>
        <w:t xml:space="preserve">5. Монте‑Карло проверяет результат. Если риск выше допустимого, добавляются маяки или UWB.</w:t>
      </w:r>
    </w:p>
    <w:p>
      <w:pPr>
        <w:pStyle w:val="BodyText"/>
      </w:pPr>
      <w:r>
        <w:t xml:space="preserve">На выходе — технология, схема, координаты маяков и FMEA «до» и «после».</w:t>
      </w:r>
    </w:p>
    <w:bookmarkEnd w:id="38"/>
    <w:bookmarkStart w:id="39" w:name="слайд-20.-рекомендации-по-зонам-755810"/>
    <w:p>
      <w:pPr>
        <w:pStyle w:val="Heading3"/>
      </w:pPr>
      <w:r>
        <w:t xml:space="preserve">Слайд 20. Рекомендации по зонам [7:55–8:10]</w:t>
      </w:r>
    </w:p>
    <w:p>
      <w:pPr>
        <w:pStyle w:val="FirstParagraph"/>
      </w:pPr>
      <w:r>
        <w:t xml:space="preserve">Базовый слой — BLE: на складах линейная схема, в цехах сетка на колоннах. LoRaWAN отсеян по точности и используется только для передачи данных. Для ОТК, где требуемая точность 1,5 м и тяжесть 10, рекомендованы UWB и «ворота».</w:t>
      </w:r>
    </w:p>
    <w:bookmarkEnd w:id="39"/>
    <w:bookmarkStart w:id="40" w:name="слайд-21.-расстановки-маяков-810820"/>
    <w:p>
      <w:pPr>
        <w:pStyle w:val="Heading3"/>
      </w:pPr>
      <w:r>
        <w:t xml:space="preserve">Слайд 21. Расстановки маяков [8:10–8:20]</w:t>
      </w:r>
    </w:p>
    <w:p>
      <w:pPr>
        <w:pStyle w:val="FirstParagraph"/>
      </w:pPr>
      <w:r>
        <w:t xml:space="preserve">Здесь показаны расстановки 36 маяков разными способами. Видно, что экспертная система смещает маяки из складов в критичные зоны.</w:t>
      </w:r>
    </w:p>
    <w:bookmarkEnd w:id="40"/>
    <w:bookmarkStart w:id="41" w:name="слайд-22.-итоговое-сравнение-820855"/>
    <w:p>
      <w:pPr>
        <w:pStyle w:val="Heading3"/>
      </w:pPr>
      <w:r>
        <w:t xml:space="preserve">Слайд 22. Итоговое сравнение [8:20–8:55]</w:t>
      </w:r>
    </w:p>
    <w:p>
      <w:pPr>
        <w:pStyle w:val="FirstParagraph"/>
      </w:pPr>
      <w:r>
        <w:t xml:space="preserve">Главный результат. При равном числе маяков экспертная система по сравнению с сеткой:</w:t>
      </w:r>
      <w:r>
        <w:t xml:space="preserve"> </w:t>
      </w:r>
      <w:r>
        <w:t xml:space="preserve">- снижает ΣRPN′ с 749 до 706, то есть на 5,8 %;</w:t>
      </w:r>
      <w:r>
        <w:t xml:space="preserve"> </w:t>
      </w:r>
      <w:r>
        <w:t xml:space="preserve">- снижает пропуск с 399 до 370 ppm, то есть на 7,2 %;</w:t>
      </w:r>
      <w:r>
        <w:t xml:space="preserve"> </w:t>
      </w:r>
      <w:r>
        <w:t xml:space="preserve">- повышает K с 0,610 до 0,639.</w:t>
      </w:r>
    </w:p>
    <w:p>
      <w:pPr>
        <w:pStyle w:val="BodyText"/>
      </w:pPr>
      <w:r>
        <w:t xml:space="preserve">С UWB в зоне ОТК ΣRPN′ снижается до 668, а K растёт до 0,655. Расстановка на максимальное покрытие (MCLP) оказалась худшей: покрытие — ещё не качество локализации. Все варианты проверены независимым Монте‑Карло.</w:t>
      </w:r>
    </w:p>
    <w:bookmarkEnd w:id="41"/>
    <w:bookmarkStart w:id="42" w:name="слайд-23.-fmea-до-и-после-855910"/>
    <w:p>
      <w:pPr>
        <w:pStyle w:val="Heading3"/>
      </w:pPr>
      <w:r>
        <w:t xml:space="preserve">Слайд 23. FMEA «до» и «после» [8:55–9:10]</w:t>
      </w:r>
    </w:p>
    <w:p>
      <w:pPr>
        <w:pStyle w:val="FirstParagraph"/>
      </w:pPr>
      <w:r>
        <w:t xml:space="preserve">Суммарный RPN снизился на 48 %. Наибольшее снижение получили самые критичные зоны: термообработка — на 56 %, механообработка — на 52 %. В ОТК RPN′ снизился до 81 против 100 у сетки.</w:t>
      </w:r>
    </w:p>
    <w:bookmarkEnd w:id="42"/>
    <w:bookmarkStart w:id="43" w:name="X2752dab65e8b131a593dd8c324f3f3d5ce2884d"/>
    <w:p>
      <w:pPr>
        <w:pStyle w:val="Heading3"/>
      </w:pPr>
      <w:r>
        <w:t xml:space="preserve">Слайд 24. Бюджет и вклад фильтрации [9:10–9:30]</w:t>
      </w:r>
    </w:p>
    <w:p>
      <w:pPr>
        <w:pStyle w:val="FirstParagraph"/>
      </w:pPr>
      <w:r>
        <w:t xml:space="preserve">Сетка с ростом числа маяков насыщается, а экспертная система продолжает снижать риск. 28 маяков по её рекомендации дают почти тот же риск, что сетка из 36. Без фильтрации оптимизация не даёт выигрыша — методики работают только в комплексе.</w:t>
      </w:r>
    </w:p>
    <w:bookmarkEnd w:id="43"/>
    <w:bookmarkStart w:id="44" w:name="слайд-25.-основные-результаты-930945"/>
    <w:p>
      <w:pPr>
        <w:pStyle w:val="Heading3"/>
      </w:pPr>
      <w:r>
        <w:t xml:space="preserve">Слайд 25. Основные результаты [9:30–9:45]</w:t>
      </w:r>
    </w:p>
    <w:p>
      <w:pPr>
        <w:pStyle w:val="FirstParagraph"/>
      </w:pPr>
      <w:r>
        <w:t xml:space="preserve">Итак, в работе решена научная задача: разработаны модель и методики расположения радиомаяков, а также экспертная система, которая снижает риск и долю несоответствий. Правила использованы в ТТ, ТЗ и программе испытаний системы ССД‑LoRaWAN‑РТ. Перспектива — натурная проверка на действующем производстве и интеграция с MES.</w:t>
      </w:r>
    </w:p>
    <w:bookmarkEnd w:id="44"/>
    <w:bookmarkStart w:id="45" w:name="слайд-26.-апробация-и-публикации-945955"/>
    <w:p>
      <w:pPr>
        <w:pStyle w:val="Heading3"/>
      </w:pPr>
      <w:r>
        <w:t xml:space="preserve">Слайд 26. Апробация и публикации [9:45–9:55]</w:t>
      </w:r>
    </w:p>
    <w:p>
      <w:pPr>
        <w:pStyle w:val="FirstParagraph"/>
      </w:pPr>
      <w:r>
        <w:t xml:space="preserve">По теме опубликовано 18 работ: 3 статьи ВАК, патент, 4 свидетельства на программы для ЭВМ и 10 публикаций в сборниках конференций. Результаты докладывались на шести конференциях.</w:t>
      </w:r>
    </w:p>
    <w:bookmarkEnd w:id="45"/>
    <w:bookmarkStart w:id="46" w:name="слайд-27.-заключение-9551000"/>
    <w:p>
      <w:pPr>
        <w:pStyle w:val="Heading3"/>
      </w:pPr>
      <w:r>
        <w:t xml:space="preserve">Слайд 27. Заключение [9:55–10:00]</w:t>
      </w:r>
    </w:p>
    <w:p>
      <w:pPr>
        <w:pStyle w:val="FirstParagraph"/>
      </w:pPr>
      <w:r>
        <w:t xml:space="preserve">Благодарю за внимание! Готов ответить на вопросы.</w:t>
      </w:r>
    </w:p>
    <w:p>
      <w:r>
        <w:pict>
          <v:rect style="width:0;height:1.5pt" o:hralign="center" o:hrstd="t" o:hr="t"/>
        </w:pict>
      </w:r>
    </w:p>
    <w:bookmarkEnd w:id="46"/>
    <w:bookmarkStart w:id="47" w:name="если-дают-1520-минут"/>
    <w:p>
      <w:pPr>
        <w:pStyle w:val="Heading2"/>
      </w:pPr>
      <w:r>
        <w:t xml:space="preserve">Если дают 15–20 минут</w:t>
      </w:r>
    </w:p>
    <w:p>
      <w:pPr>
        <w:pStyle w:val="FirstParagraph"/>
      </w:pPr>
      <w:r>
        <w:t xml:space="preserve">Расширьте эти места: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Слайд 11.</w:t>
      </w:r>
      <w:r>
        <w:t xml:space="preserve"> </w:t>
      </w:r>
      <w:r>
        <w:t xml:space="preserve">Проговорите формулы: как D переводится в вероятность выявления и как считается ppm.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Слайд 16.</w:t>
      </w:r>
      <w:r>
        <w:t xml:space="preserve"> </w:t>
      </w:r>
      <w:r>
        <w:t xml:space="preserve">Объясните, почему граница Крамера–Рао занижает ошибку при малом числе маяков. Расскажите, почему МСП предпочтён градиентному бустингу: он дифференцируемый и даёт прогноз за фиксированное время.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Слайд 22.</w:t>
      </w:r>
      <w:r>
        <w:t xml:space="preserve"> </w:t>
      </w:r>
      <w:r>
        <w:t xml:space="preserve">Объясните, почему ГА по покрытию близок по сумме, но не переносит ресурс в ОТК (выявляемость 0,55 → 0,64).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Слайд 23.</w:t>
      </w:r>
      <w:r>
        <w:t xml:space="preserve"> </w:t>
      </w:r>
      <w:r>
        <w:t xml:space="preserve">Назовите узкое место — сварку (RPN′ = 150). Для неё правило П7 рекомендует уплотнение сети.</w:t>
      </w:r>
    </w:p>
    <w:bookmarkEnd w:id="47"/>
    <w:bookmarkStart w:id="48" w:name="вероятные-вопросы-комиссии"/>
    <w:p>
      <w:pPr>
        <w:pStyle w:val="Heading2"/>
      </w:pPr>
      <w:r>
        <w:t xml:space="preserve">Вероятные вопросы комиссии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Почему нет проверки на действующем производстве?</w:t>
      </w:r>
      <w:r>
        <w:t xml:space="preserve"> </w:t>
      </w:r>
      <w:r>
        <w:t xml:space="preserve">Ответ: проверка на модели и на опытном образце, натурная проверка — перспектива работы.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Почему эффект всего 5,8 %?</w:t>
      </w:r>
      <w:r>
        <w:t xml:space="preserve"> </w:t>
      </w:r>
      <w:r>
        <w:t xml:space="preserve">Ответ: сравнение идёт с уже хорошей сеткой при том же бюджете. С ростом N разрыв увеличивается до 10,5 %. Кроме того, экспертная система экономит 8 маяков из 36.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Как публикации ВАК соотносятся с темой?</w:t>
      </w:r>
      <w:r>
        <w:t xml:space="preserve"> </w:t>
      </w:r>
      <w:r>
        <w:t xml:space="preserve">Опубликованные статьи ВАК посвящены сенсорам и измерениям формы. Публикации по модели, нейросети и экспертной системе готовятся.</w:t>
      </w:r>
    </w:p>
    <w:bookmarkEnd w:id="48"/>
    <w:bookmarkEnd w:id="49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2026-10-19T12:15:06Z</dcterms:created>
  <dcterms:modified xsi:type="dcterms:W3CDTF">2026-10-19T12:15:06Z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