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E7F5781">
      <w:pPr>
        <w:pStyle w:val="1_514"/>
        <w:pBdr/>
        <w:spacing/>
        <w:ind w:firstLine="720" w:left="1440"/>
        <w:jc w:val="left"/>
        <w:rPr>
          <w:rFonts w:ascii="Arial" w:hAnsi="Arial" w:cs="Arial"/>
          <w:b/>
          <w:bCs/>
          <w:sz w:val="30"/>
          <w:szCs w:val="30"/>
        </w:rPr>
      </w:pPr>
      <w:r>
        <w:rPr>
          <w:rFonts w:ascii="Arial" w:hAnsi="Arial" w:eastAsia="Arial" w:cs="Arial"/>
        </w:rPr>
      </w:r>
      <w:bookmarkStart w:id="1" w:name="_Hlk215698251"/>
      <w:r>
        <w:rPr>
          <w:rFonts w:ascii="Arial" w:hAnsi="Arial" w:eastAsia="Arial" w:cs="Arial"/>
        </w:rPr>
      </w:r>
      <w:bookmarkEnd w:id="1"/>
      <w:r>
        <w:rPr>
          <w:rFonts w:ascii="Arial" w:hAnsi="Arial" w:eastAsia="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column">
                  <wp:posOffset>-910479</wp:posOffset>
                </wp:positionH>
                <wp:positionV relativeFrom="paragraph">
                  <wp:posOffset>-676275</wp:posOffset>
                </wp:positionV>
                <wp:extent cx="1603375" cy="1603375"/>
                <wp:effectExtent l="0" t="0" r="0" b="0"/>
                <wp:wrapNone/>
                <wp:docPr id="1" name="Imagen 5" descr="Univalle La Paz | La P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19015" name="Picture 3" descr="Univalle La Paz | La Paz"/>
                        <pic:cNvPicPr>
                          <a:picLocks noChangeAspect="1"/>
                        </pic:cNvPicPr>
                        <pic:nvPr/>
                      </pic:nvPicPr>
                      <pic:blipFill rotWithShape="1">
                        <a:blip r:embed="rId10"/>
                        <a:stretch/>
                      </pic:blipFill>
                      <pic:spPr bwMode="auto">
                        <a:xfrm>
                          <a:off x="0" y="0"/>
                          <a:ext cx="1603373" cy="1603373"/>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text;margin-left:-71.69pt;mso-position-horizontal:absolute;mso-position-vertical-relative:text;margin-top:-53.25pt;mso-position-vertical:absolute;width:126.25pt;height:126.25pt;mso-wrap-distance-left:9.00pt;mso-wrap-distance-top:0.00pt;mso-wrap-distance-right:9.00pt;mso-wrap-distance-bottom:0.00pt;z-index:1;" stroked="f">
                <v:imagedata r:id="rId10" o:title=""/>
                <o:lock v:ext="edit" rotation="t"/>
              </v:shape>
            </w:pict>
          </mc:Fallback>
        </mc:AlternateContent>
      </w:r>
      <w:r>
        <w:rPr>
          <w:rFonts w:ascii="Arial" w:hAnsi="Arial" w:eastAsia="Arial" w:cs="Arial"/>
          <w:b/>
          <w:bCs/>
          <w:sz w:val="30"/>
          <w:szCs w:val="30"/>
        </w:rPr>
        <w:t xml:space="preserve">UNIVERSIDAD PRIVADA DEL VALLE</w:t>
      </w:r>
      <w:r>
        <w:rPr>
          <w:rFonts w:ascii="Arial" w:hAnsi="Arial" w:eastAsia="Arial" w:cs="Arial"/>
          <w:b/>
          <w:bCs/>
          <w:sz w:val="30"/>
          <w:szCs w:val="30"/>
        </w:rPr>
      </w:r>
      <w:r>
        <w:rPr>
          <w:rFonts w:ascii="Arial" w:hAnsi="Arial" w:eastAsia="Arial" w:cs="Arial"/>
          <w:b/>
          <w:bCs/>
          <w:sz w:val="30"/>
          <w:szCs w:val="30"/>
        </w:rPr>
      </w:r>
    </w:p>
    <w:p w14:paraId="6F17F990">
      <w:pPr>
        <w:pStyle w:val="1_514"/>
        <w:pBdr/>
        <w:spacing w:line="360" w:lineRule="auto"/>
        <w:ind w:firstLine="720" w:left="0"/>
        <w:jc w:val="center"/>
        <w:rPr>
          <w:rFonts w:ascii="Arial" w:hAnsi="Arial" w:cs="Arial"/>
          <w:b/>
          <w:bCs/>
          <w:sz w:val="26"/>
          <w:szCs w:val="26"/>
        </w:rPr>
      </w:pPr>
      <w:r>
        <w:rPr>
          <w:rFonts w:ascii="Arial" w:hAnsi="Arial" w:eastAsia="Arial" w:cs="Arial"/>
          <w:b/>
          <w:bCs/>
          <w:sz w:val="26"/>
          <w:szCs w:val="26"/>
        </w:rPr>
        <w:t xml:space="preserve">FACULTAD DE INFORMATICA Y ELECTRONICA</w:t>
      </w:r>
      <w:r>
        <w:rPr>
          <w:rFonts w:ascii="Arial" w:hAnsi="Arial" w:eastAsia="Arial" w:cs="Arial"/>
          <w:b/>
          <w:bCs/>
          <w:sz w:val="26"/>
          <w:szCs w:val="26"/>
        </w:rPr>
      </w:r>
      <w:r>
        <w:rPr>
          <w:rFonts w:ascii="Arial" w:hAnsi="Arial" w:eastAsia="Arial" w:cs="Arial"/>
          <w:b/>
          <w:bCs/>
          <w:sz w:val="26"/>
          <w:szCs w:val="26"/>
        </w:rPr>
      </w:r>
    </w:p>
    <w:p w14:paraId="738122C8">
      <w:pPr>
        <w:pStyle w:val="1_514"/>
        <w:pBdr/>
        <w:spacing w:line="360" w:lineRule="auto"/>
        <w:ind w:left="0"/>
        <w:jc w:val="left"/>
        <w:rPr>
          <w:rFonts w:ascii="Arial" w:hAnsi="Arial" w:cs="Arial"/>
          <w:b/>
          <w:bCs/>
          <w:sz w:val="26"/>
          <w:szCs w:val="26"/>
        </w:rPr>
      </w:pPr>
      <w:r>
        <w:rPr>
          <w:rFonts w:ascii="Arial" w:hAnsi="Arial" w:eastAsia="Arial" w:cs="Arial"/>
          <w:b/>
          <w:bCs/>
          <w:sz w:val="26"/>
          <w:szCs w:val="26"/>
        </w:rPr>
        <w:t xml:space="preserve">           CARRERA DE INGENIERIA DE SISTEMAS</w:t>
      </w:r>
      <w:r>
        <w:rPr>
          <w:rFonts w:ascii="Arial" w:hAnsi="Arial" w:eastAsia="Arial" w:cs="Arial"/>
          <w:b/>
          <w:bCs/>
          <w:sz w:val="26"/>
          <w:szCs w:val="26"/>
          <w:lang w:val="es-ES"/>
        </w:rPr>
        <w:t xml:space="preserve"> </w:t>
      </w:r>
      <w:r>
        <w:rPr>
          <w:rFonts w:ascii="Arial" w:hAnsi="Arial" w:eastAsia="Arial" w:cs="Arial"/>
          <w:b/>
          <w:bCs/>
          <w:sz w:val="26"/>
          <w:szCs w:val="26"/>
        </w:rPr>
        <w:t xml:space="preserve">INFORMATICOS</w:t>
      </w:r>
      <w:r>
        <w:rPr>
          <w:rFonts w:ascii="Arial" w:hAnsi="Arial" w:eastAsia="Arial" w:cs="Arial"/>
          <w:b/>
          <w:bCs/>
          <w:sz w:val="26"/>
          <w:szCs w:val="26"/>
        </w:rPr>
      </w:r>
      <w:r>
        <w:rPr>
          <w:rFonts w:ascii="Arial" w:hAnsi="Arial" w:eastAsia="Arial" w:cs="Arial"/>
          <w:b/>
          <w:bCs/>
          <w:sz w:val="26"/>
          <w:szCs w:val="26"/>
        </w:rPr>
      </w:r>
    </w:p>
    <w:p w14:paraId="6498B3F0">
      <w:pPr>
        <w:pStyle w:val="1_514"/>
        <w:pBdr/>
        <w:spacing/>
        <w:ind w:left="708"/>
        <w:jc w:val="center"/>
        <w:rPr>
          <w:rFonts w:ascii="Arial" w:hAnsi="Arial" w:cs="Arial"/>
          <w:sz w:val="28"/>
          <w:szCs w:val="28"/>
        </w:rPr>
      </w:pPr>
      <w:r>
        <w:rPr>
          <w:rFonts w:ascii="Arial" w:hAnsi="Arial" w:eastAsia="Arial" w:cs="Arial"/>
          <w:sz w:val="28"/>
          <w:szCs w:val="28"/>
        </w:rPr>
      </w:r>
      <w:r>
        <w:rPr>
          <w:rFonts w:ascii="Arial" w:hAnsi="Arial" w:eastAsia="Arial" w:cs="Arial"/>
          <w:sz w:val="28"/>
          <w:szCs w:val="28"/>
        </w:rPr>
      </w:r>
      <w:r>
        <w:rPr>
          <w:rFonts w:ascii="Arial" w:hAnsi="Arial" w:eastAsia="Arial" w:cs="Arial"/>
          <w:sz w:val="28"/>
          <w:szCs w:val="28"/>
        </w:rPr>
      </w:r>
    </w:p>
    <w:p w14:paraId="49C8D6BD">
      <w:pPr>
        <w:pStyle w:val="1_514"/>
        <w:pBdr/>
        <w:tabs>
          <w:tab w:val="left" w:leader="none" w:pos="566"/>
          <w:tab w:val="left" w:leader="none" w:pos="1116"/>
          <w:tab w:val="center" w:leader="none" w:pos="4560"/>
        </w:tabs>
        <w:spacing/>
        <w:ind/>
        <w:rPr>
          <w:rFonts w:ascii="Arial" w:hAnsi="Arial" w:cs="Arial"/>
          <w:sz w:val="36"/>
          <w:szCs w:val="36"/>
        </w:rPr>
      </w:pPr>
      <w:r>
        <w:rPr>
          <w:rFonts w:ascii="Arial" w:hAnsi="Arial" w:eastAsia="Arial" w:cs="Arial"/>
          <w:sz w:val="36"/>
          <w:szCs w:val="36"/>
        </w:rPr>
        <w:tab/>
      </w:r>
      <w:r>
        <w:rPr>
          <w:rFonts w:ascii="Arial" w:hAnsi="Arial" w:eastAsia="Arial" w:cs="Arial"/>
          <w:sz w:val="36"/>
          <w:szCs w:val="36"/>
        </w:rPr>
        <w:tab/>
      </w:r>
      <w:r>
        <w:rPr>
          <w:rFonts w:ascii="Arial" w:hAnsi="Arial" w:eastAsia="Arial" w:cs="Arial"/>
          <w:sz w:val="36"/>
          <w:szCs w:val="36"/>
        </w:rPr>
        <w:tab/>
      </w:r>
      <w:r>
        <w:rPr>
          <w:rFonts w:ascii="Arial" w:hAnsi="Arial" w:eastAsia="Arial" w:cs="Arial"/>
          <w:sz w:val="36"/>
          <w:szCs w:val="36"/>
        </w:rPr>
      </w:r>
      <w:r>
        <w:rPr>
          <w:rFonts w:ascii="Arial" w:hAnsi="Arial" w:eastAsia="Arial" w:cs="Arial"/>
          <w:sz w:val="36"/>
          <w:szCs w:val="36"/>
        </w:rPr>
      </w:r>
    </w:p>
    <w:p w14:paraId="3033363A">
      <w:pPr>
        <w:pStyle w:val="1_514"/>
        <w:pBdr/>
        <w:spacing/>
        <w:ind/>
        <w:jc w:val="center"/>
        <w:rPr>
          <w:rFonts w:ascii="Arial" w:hAnsi="Arial" w:cs="Arial"/>
          <w:b/>
          <w:bCs/>
          <w:sz w:val="32"/>
          <w:szCs w:val="32"/>
        </w:rPr>
      </w:pPr>
      <w:r>
        <w:rPr>
          <w:rFonts w:ascii="Arial" w:hAnsi="Arial" w:eastAsia="Arial" w:cs="Arial"/>
          <w:b/>
          <w:bCs/>
          <w:sz w:val="32"/>
          <w:szCs w:val="32"/>
        </w:rPr>
      </w:r>
      <w:r>
        <w:rPr>
          <w:rFonts w:ascii="Arial" w:hAnsi="Arial" w:eastAsia="Arial" w:cs="Arial"/>
          <w:b/>
          <w:bCs/>
          <w:sz w:val="32"/>
          <w:szCs w:val="32"/>
        </w:rPr>
      </w:r>
      <w:r>
        <w:rPr>
          <w:rFonts w:ascii="Arial" w:hAnsi="Arial" w:eastAsia="Arial" w:cs="Arial"/>
          <w:b/>
          <w:bCs/>
          <w:sz w:val="32"/>
          <w:szCs w:val="32"/>
        </w:rPr>
      </w:r>
    </w:p>
    <w:p w14:paraId="069AA453">
      <w:pPr>
        <w:pStyle w:val="1_514"/>
        <w:pBdr/>
        <w:spacing w:line="360" w:lineRule="auto"/>
        <w:ind w:left="2124"/>
        <w:rPr>
          <w:rFonts w:ascii="Arial" w:hAnsi="Arial" w:cs="Arial"/>
          <w:sz w:val="40"/>
          <w:szCs w:val="40"/>
        </w:rPr>
      </w:pPr>
      <w:r>
        <w:rPr>
          <w:rStyle w:val="1_515"/>
          <w:rFonts w:ascii="Arial" w:hAnsi="Arial" w:eastAsia="Arial" w:cs="Arial"/>
          <w:b/>
          <w:bCs/>
          <w:sz w:val="40"/>
          <w:szCs w:val="40"/>
          <w:lang w:val="es-ES"/>
        </w:rPr>
        <w:t xml:space="preserve">PROYECTO FINAL</w:t>
      </w:r>
      <w:r>
        <w:rPr>
          <w:rFonts w:ascii="Arial" w:hAnsi="Arial" w:eastAsia="Arial" w:cs="Arial"/>
          <w:sz w:val="40"/>
          <w:szCs w:val="40"/>
        </w:rPr>
      </w:r>
    </w:p>
    <w:p w14:paraId="19919D00">
      <w:pPr>
        <w:pStyle w:val="1_514"/>
        <w:pBdr/>
        <w:spacing w:line="360" w:lineRule="auto"/>
        <w:ind/>
        <w:jc w:val="center"/>
        <w:rPr>
          <w:rFonts w:ascii="Arial" w:hAnsi="Arial" w:cs="Arial"/>
          <w:sz w:val="44"/>
          <w:szCs w:val="44"/>
        </w:rPr>
      </w:pPr>
      <w:r>
        <w:rPr>
          <w:rFonts w:ascii="Arial" w:hAnsi="Arial" w:eastAsia="Arial" w:cs="Arial"/>
          <w:sz w:val="44"/>
          <w:szCs w:val="44"/>
        </w:rPr>
      </w:r>
      <w:r>
        <w:rPr>
          <w:rFonts w:ascii="Arial" w:hAnsi="Arial" w:eastAsia="Arial" w:cs="Arial"/>
          <w:sz w:val="44"/>
          <w:szCs w:val="44"/>
        </w:rPr>
      </w:r>
      <w:r>
        <w:rPr>
          <w:rFonts w:ascii="Arial" w:hAnsi="Arial" w:eastAsia="Arial" w:cs="Arial"/>
          <w:sz w:val="44"/>
          <w:szCs w:val="44"/>
        </w:rPr>
      </w:r>
    </w:p>
    <w:p w14:paraId="1025811E">
      <w:pPr>
        <w:pBdr/>
        <w:spacing w:after="303"/>
        <w:ind w:left="1795"/>
        <w:rPr>
          <w:rFonts w:ascii="Arial" w:hAnsi="Arial" w:cs="Arial"/>
          <w:sz w:val="32"/>
          <w:szCs w:val="32"/>
        </w:rPr>
      </w:pPr>
      <w:r>
        <w:rPr>
          <w:rFonts w:ascii="Arial" w:hAnsi="Arial" w:eastAsia="Arial" w:cs="Arial"/>
          <w:b/>
          <w:color w:val="000000" w:themeColor="text1"/>
          <w:sz w:val="32"/>
          <w:szCs w:val="32"/>
        </w:rPr>
        <w:t xml:space="preserve">MATERIA: </w:t>
      </w:r>
      <w:r>
        <w:rPr>
          <w:rFonts w:ascii="Arial" w:hAnsi="Arial" w:eastAsia="Arial" w:cs="Arial"/>
          <w:color w:val="000000" w:themeColor="text1"/>
          <w:sz w:val="32"/>
          <w:szCs w:val="32"/>
          <w:lang w:val="es-ES"/>
        </w:rPr>
        <w:t xml:space="preserve">DataWarehouse</w:t>
      </w:r>
      <w:r>
        <w:rPr>
          <w:rFonts w:ascii="Arial" w:hAnsi="Arial" w:eastAsia="Arial" w:cs="Arial"/>
          <w:b/>
          <w:color w:val="000000" w:themeColor="text1"/>
          <w:sz w:val="32"/>
          <w:szCs w:val="32"/>
        </w:rPr>
        <w:t xml:space="preserve"> </w:t>
      </w:r>
      <w:r>
        <w:rPr>
          <w:rFonts w:ascii="Arial" w:hAnsi="Arial" w:eastAsia="Arial" w:cs="Arial"/>
          <w:sz w:val="32"/>
          <w:szCs w:val="32"/>
        </w:rPr>
      </w:r>
      <w:r>
        <w:rPr>
          <w:rFonts w:ascii="Arial" w:hAnsi="Arial" w:eastAsia="Arial" w:cs="Arial"/>
          <w:sz w:val="32"/>
          <w:szCs w:val="32"/>
        </w:rPr>
      </w:r>
    </w:p>
    <w:p w14:paraId="2FE5BC4C">
      <w:pPr>
        <w:pBdr/>
        <w:spacing w:after="292" w:line="265" w:lineRule="auto"/>
        <w:ind w:left="1805"/>
        <w:rPr>
          <w:rFonts w:ascii="Arial" w:hAnsi="Arial" w:cs="Arial"/>
          <w:sz w:val="32"/>
          <w:szCs w:val="32"/>
        </w:rPr>
      </w:pPr>
      <w:r>
        <w:rPr>
          <w:rFonts w:ascii="Arial" w:hAnsi="Arial" w:eastAsia="Arial" w:cs="Arial"/>
          <w:b/>
          <w:bCs/>
          <w:color w:val="000000" w:themeColor="text1"/>
          <w:sz w:val="32"/>
          <w:szCs w:val="32"/>
        </w:rPr>
        <w:t xml:space="preserve">PARALELO: </w:t>
      </w:r>
      <w:r>
        <w:rPr>
          <w:rFonts w:ascii="Arial" w:hAnsi="Arial" w:eastAsia="Arial" w:cs="Arial"/>
          <w:color w:val="000000" w:themeColor="text1"/>
          <w:sz w:val="32"/>
          <w:szCs w:val="32"/>
        </w:rPr>
        <w:t xml:space="preserve">“A”   </w:t>
      </w:r>
      <w:r>
        <w:rPr>
          <w:rFonts w:ascii="Arial" w:hAnsi="Arial" w:eastAsia="Arial" w:cs="Arial"/>
          <w:sz w:val="32"/>
          <w:szCs w:val="32"/>
        </w:rPr>
      </w:r>
      <w:r>
        <w:rPr>
          <w:rFonts w:ascii="Arial" w:hAnsi="Arial" w:eastAsia="Arial" w:cs="Arial"/>
          <w:sz w:val="32"/>
          <w:szCs w:val="32"/>
        </w:rPr>
      </w:r>
    </w:p>
    <w:p w14:paraId="2450A837">
      <w:pPr>
        <w:pBdr/>
        <w:spacing w:after="72" w:line="490" w:lineRule="auto"/>
        <w:ind w:right="268" w:left="1795"/>
        <w:rPr>
          <w:rFonts w:ascii="Arial" w:hAnsi="Arial" w:cs="Arial"/>
          <w:color w:val="000000"/>
          <w:sz w:val="32"/>
          <w:szCs w:val="32"/>
        </w:rPr>
      </w:pPr>
      <w:r>
        <w:rPr>
          <w:rFonts w:ascii="Arial" w:hAnsi="Arial" w:eastAsia="Arial" w:cs="Arial"/>
          <w:b/>
          <w:color w:val="000000" w:themeColor="text1"/>
          <w:sz w:val="32"/>
          <w:szCs w:val="32"/>
        </w:rPr>
        <w:t xml:space="preserve">DOCENTE: </w:t>
      </w:r>
      <w:r>
        <w:rPr>
          <w:rFonts w:ascii="Arial" w:hAnsi="Arial" w:eastAsia="Arial" w:cs="Arial"/>
          <w:color w:val="000000" w:themeColor="text1"/>
          <w:sz w:val="32"/>
          <w:szCs w:val="32"/>
        </w:rPr>
        <w:t xml:space="preserve">Ing. </w:t>
      </w:r>
      <w:r>
        <w:rPr>
          <w:rFonts w:ascii="Arial" w:hAnsi="Arial" w:eastAsia="Arial" w:cs="Arial"/>
          <w:color w:val="000000" w:themeColor="text1"/>
          <w:sz w:val="32"/>
          <w:szCs w:val="32"/>
          <w:lang w:val="es-ES"/>
        </w:rPr>
        <w:t xml:space="preserve">Katia Luz Mansilla Arce</w:t>
      </w:r>
      <w:r>
        <w:rPr>
          <w:rFonts w:ascii="Arial" w:hAnsi="Arial" w:eastAsia="Arial" w:cs="Arial"/>
          <w:color w:val="000000"/>
          <w:sz w:val="32"/>
          <w:szCs w:val="32"/>
        </w:rPr>
      </w:r>
      <w:r>
        <w:rPr>
          <w:rFonts w:ascii="Arial" w:hAnsi="Arial" w:eastAsia="Arial" w:cs="Arial"/>
          <w:color w:val="000000"/>
          <w:sz w:val="32"/>
          <w:szCs w:val="32"/>
        </w:rPr>
      </w:r>
    </w:p>
    <w:p w14:paraId="5E6740AB">
      <w:pPr>
        <w:pBdr/>
        <w:spacing w:after="72" w:line="490" w:lineRule="auto"/>
        <w:ind w:right="268" w:left="1795"/>
        <w:rPr>
          <w:rFonts w:ascii="Arial" w:hAnsi="Arial" w:cs="Arial"/>
          <w:b/>
          <w:color w:val="000000"/>
          <w:sz w:val="32"/>
          <w:szCs w:val="32"/>
        </w:rPr>
      </w:pPr>
      <w:r>
        <w:rPr>
          <w:rFonts w:ascii="Arial" w:hAnsi="Arial" w:eastAsia="Arial" w:cs="Arial"/>
          <w:b/>
          <w:color w:val="000000"/>
          <w:sz w:val="32"/>
          <w:szCs w:val="32"/>
        </w:rPr>
        <w:t xml:space="preserve">ESTUDIANTES:  </w:t>
      </w:r>
      <w:r>
        <w:rPr>
          <w:rFonts w:ascii="Arial" w:hAnsi="Arial" w:eastAsia="Arial" w:cs="Arial"/>
          <w:b/>
          <w:color w:val="000000"/>
          <w:sz w:val="32"/>
          <w:szCs w:val="32"/>
        </w:rPr>
      </w:r>
      <w:r>
        <w:rPr>
          <w:rFonts w:ascii="Arial" w:hAnsi="Arial" w:eastAsia="Arial" w:cs="Arial"/>
          <w:b/>
          <w:color w:val="000000"/>
          <w:sz w:val="32"/>
          <w:szCs w:val="32"/>
        </w:rPr>
      </w:r>
    </w:p>
    <w:p w14:paraId="60E5C235">
      <w:pPr>
        <w:pStyle w:val="713"/>
        <w:pBdr/>
        <w:spacing w:after="72" w:line="490" w:lineRule="auto"/>
        <w:ind w:right="268" w:hanging="360" w:left="3192"/>
        <w:contextualSpacing w:val="true"/>
        <w:rPr>
          <w:rFonts w:ascii="Arial" w:hAnsi="Arial" w:cs="Arial"/>
          <w:sz w:val="36"/>
          <w:szCs w:val="36"/>
        </w:rPr>
      </w:pPr>
      <w:r>
        <w:rPr>
          <w:rFonts w:ascii="Arial" w:hAnsi="Arial" w:eastAsia="Arial" w:cs="Arial"/>
          <w:sz w:val="36"/>
          <w:szCs w:val="36"/>
        </w:rPr>
        <w:t xml:space="preserve">Mamani Quispe Bryan Iban</w:t>
      </w:r>
      <w:r>
        <w:rPr>
          <w:rFonts w:ascii="Arial" w:hAnsi="Arial" w:eastAsia="Arial" w:cs="Arial"/>
          <w:sz w:val="32"/>
          <w:szCs w:val="32"/>
        </w:rPr>
      </w:r>
      <w:r>
        <w:rPr>
          <w:rFonts w:ascii="Arial" w:hAnsi="Arial" w:cs="Arial"/>
          <w:sz w:val="36"/>
          <w:szCs w:val="36"/>
        </w:rPr>
      </w:r>
    </w:p>
    <w:p w14:paraId="4238EDD1">
      <w:pPr>
        <w:pBdr/>
        <w:spacing w:line="276" w:lineRule="auto"/>
        <w:ind/>
        <w:jc w:val="left"/>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14:paraId="1A01DFA3">
      <w:pPr>
        <w:pBdr/>
        <w:spacing w:line="276" w:lineRule="auto"/>
        <w:ind/>
        <w:jc w:val="left"/>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14:paraId="01DD78B3">
      <w:pPr>
        <w:pBdr/>
        <w:spacing w:line="276" w:lineRule="auto"/>
        <w:ind/>
        <w:jc w:val="left"/>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14:paraId="2553E67D">
      <w:pPr>
        <w:pBdr/>
        <w:spacing w:line="276" w:lineRule="auto"/>
        <w:ind/>
        <w:jc w:val="left"/>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14:paraId="33BCB22E">
      <w:pPr>
        <w:pBdr/>
        <w:spacing w:line="276" w:lineRule="auto"/>
        <w:ind/>
        <w:jc w:val="left"/>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14:paraId="3195F94E">
      <w:pPr>
        <w:pBdr/>
        <w:spacing w:line="276" w:lineRule="auto"/>
        <w:ind/>
        <w:jc w:val="left"/>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14:paraId="54F57BAD">
      <w:pPr>
        <w:pBdr/>
        <w:spacing w:line="276" w:lineRule="auto"/>
        <w:ind/>
        <w:jc w:val="left"/>
        <w:rPr>
          <w:rFonts w:ascii="Arial" w:hAnsi="Arial" w:cs="Arial"/>
          <w:sz w:val="22"/>
          <w:szCs w:val="22"/>
        </w:rPr>
      </w:pPr>
      <w:r>
        <w:rPr>
          <w:rFonts w:ascii="Arial" w:hAnsi="Arial" w:cs="Arial"/>
          <w:sz w:val="22"/>
          <w:szCs w:val="22"/>
        </w:rPr>
      </w:r>
      <w:r>
        <w:rPr>
          <w:rFonts w:ascii="Arial" w:hAnsi="Arial" w:cs="Arial"/>
          <w:sz w:val="22"/>
          <w:szCs w:val="22"/>
        </w:rPr>
      </w:r>
      <w:r>
        <w:rPr>
          <w:rFonts w:ascii="Arial" w:hAnsi="Arial" w:cs="Arial"/>
          <w:sz w:val="22"/>
          <w:szCs w:val="22"/>
        </w:rPr>
      </w:r>
    </w:p>
    <w:p w14:paraId="09DB6D5E">
      <w:pPr>
        <w:pBdr/>
        <w:spacing w:line="276" w:lineRule="auto"/>
        <w:ind/>
        <w:jc w:val="left"/>
        <w:rPr>
          <w:rFonts w:ascii="Arial" w:hAnsi="Arial" w:cs="Arial"/>
          <w:sz w:val="22"/>
          <w:szCs w:val="22"/>
        </w:rPr>
      </w:pPr>
      <w:r>
        <w:rPr>
          <w:rFonts w:ascii="Arial" w:hAnsi="Arial" w:eastAsia="Arial" w:cs="Arial"/>
          <w:sz w:val="22"/>
          <w:szCs w:val="22"/>
        </w:rPr>
      </w:r>
      <w:r>
        <w:rPr>
          <w:rFonts w:ascii="Arial" w:hAnsi="Arial" w:eastAsia="Arial" w:cs="Arial"/>
          <w:sz w:val="22"/>
          <w:szCs w:val="22"/>
        </w:rPr>
      </w:r>
    </w:p>
    <w:p w14:paraId="55E3207C">
      <w:pPr>
        <w:pBdr/>
        <w:spacing w:line="276" w:lineRule="auto"/>
        <w:ind/>
        <w:jc w:val="left"/>
        <w:rPr>
          <w:rFonts w:ascii="Arial" w:hAnsi="Arial" w:cs="Arial"/>
          <w:sz w:val="22"/>
          <w:szCs w:val="22"/>
        </w:rPr>
      </w:pPr>
      <w:r>
        <w:rPr>
          <w:rFonts w:ascii="Arial" w:hAnsi="Arial" w:eastAsia="Arial" w:cs="Arial"/>
          <w:sz w:val="22"/>
          <w:szCs w:val="22"/>
        </w:rPr>
      </w:r>
      <w:r>
        <w:rPr>
          <w:rFonts w:ascii="Arial" w:hAnsi="Arial" w:eastAsia="Arial" w:cs="Arial"/>
          <w:sz w:val="22"/>
          <w:szCs w:val="22"/>
        </w:rPr>
      </w:r>
      <w:r>
        <w:rPr>
          <w:rFonts w:ascii="Arial" w:hAnsi="Arial" w:eastAsia="Arial" w:cs="Arial"/>
          <w:sz w:val="22"/>
          <w:szCs w:val="22"/>
        </w:rPr>
      </w:r>
    </w:p>
    <w:p w14:paraId="4AA59101">
      <w:pPr>
        <w:pBdr/>
        <w:spacing w:line="276" w:lineRule="auto"/>
        <w:ind/>
        <w:jc w:val="center"/>
        <w:rPr>
          <w:rFonts w:ascii="Arial" w:hAnsi="Arial" w:cs="Arial"/>
          <w:b/>
          <w:color w:val="000000"/>
          <w:sz w:val="22"/>
          <w:szCs w:val="22"/>
        </w:rPr>
      </w:pPr>
      <w:r>
        <w:rPr>
          <w:rFonts w:ascii="Arial" w:hAnsi="Arial" w:eastAsia="Arial" w:cs="Arial"/>
          <w:b/>
          <w:color w:val="000000"/>
          <w:sz w:val="22"/>
          <w:szCs w:val="22"/>
        </w:rPr>
        <w:t xml:space="preserve">La Paz – Bolivia</w:t>
      </w:r>
      <w:r>
        <w:rPr>
          <w:rFonts w:ascii="Arial" w:hAnsi="Arial" w:eastAsia="Arial" w:cs="Arial"/>
          <w:b/>
          <w:color w:val="000000"/>
          <w:sz w:val="22"/>
          <w:szCs w:val="22"/>
        </w:rPr>
      </w:r>
      <w:r>
        <w:rPr>
          <w:rFonts w:ascii="Arial" w:hAnsi="Arial" w:eastAsia="Arial" w:cs="Arial"/>
          <w:b/>
          <w:color w:val="000000"/>
          <w:sz w:val="22"/>
          <w:szCs w:val="22"/>
        </w:rPr>
      </w:r>
    </w:p>
    <w:p w14:paraId="383C5A3B">
      <w:pPr>
        <w:pBdr/>
        <w:shd w:val="nil"/>
        <w:spacing/>
        <w:ind/>
        <w:jc w:val="center"/>
        <w:rPr>
          <w:rFonts w:ascii="Arial" w:hAnsi="Arial" w:cs="Arial"/>
          <w:color w:val="000000" w:themeColor="text1"/>
        </w:rPr>
      </w:pPr>
      <w:r>
        <w:rPr>
          <w:rFonts w:ascii="Arial" w:hAnsi="Arial" w:eastAsia="Arial" w:cs="Arial"/>
          <w:b/>
          <w:bCs/>
          <w:color w:val="000000" w:themeColor="text1"/>
          <w:sz w:val="22"/>
          <w:szCs w:val="22"/>
        </w:rPr>
        <w:t xml:space="preserve">2026</w:t>
      </w:r>
      <w:r>
        <w:rPr>
          <w:rFonts w:ascii="Arial" w:hAnsi="Arial" w:eastAsia="Arial" w:cs="Arial"/>
          <w:color w:val="000000" w:themeColor="text1"/>
          <w:highlight w:val="none"/>
        </w:rPr>
        <w:br w:type="page" w:clear="all"/>
      </w:r>
      <w:r>
        <w:rPr>
          <w:rFonts w:ascii="Arial" w:hAnsi="Arial" w:eastAsia="Arial" w:cs="Arial"/>
          <w:color w:val="000000" w:themeColor="text1"/>
          <w:highlight w:val="none"/>
        </w:rPr>
      </w:r>
      <w:r>
        <w:rPr>
          <w:rFonts w:ascii="Arial" w:hAnsi="Arial" w:eastAsia="Arial" w:cs="Arial"/>
          <w:color w:val="000000" w:themeColor="text1"/>
          <w:highlight w:val="none"/>
        </w:rPr>
      </w:r>
    </w:p>
    <w:p>
      <w:pPr>
        <w:pStyle w:val="693"/>
        <w:pBdr/>
        <w:spacing w:line="360" w:lineRule="auto"/>
        <w:ind/>
        <w:rPr>
          <w:rFonts w:ascii="Arial" w:hAnsi="Arial" w:cs="Arial"/>
          <w:color w:val="000000" w:themeColor="text1"/>
          <w:highlight w:val="none"/>
        </w:rPr>
      </w:pPr>
      <w:r>
        <w:rPr>
          <w:rFonts w:ascii="Arial" w:hAnsi="Arial" w:eastAsia="Arial" w:cs="Arial"/>
          <w:color w:val="000000" w:themeColor="text1"/>
        </w:rPr>
        <w:t xml:space="preserve">1. Introducción</w:t>
      </w:r>
      <w:r>
        <w:rPr>
          <w:rFonts w:ascii="Arial" w:hAnsi="Arial" w:cs="Arial"/>
          <w:color w:val="000000" w:themeColor="text1"/>
          <w:highlight w:val="none"/>
        </w:rPr>
      </w:r>
    </w:p>
    <w:p w14:paraId="73069CAF">
      <w:pPr>
        <w:pBdr/>
        <w:spacing/>
        <w:ind/>
        <w:rPr/>
      </w:pPr>
      <w:r>
        <w:rPr>
          <w:rFonts w:ascii="Arial" w:hAnsi="Arial" w:eastAsia="Arial" w:cs="Arial"/>
          <w:color w:val="000000" w:themeColor="text1"/>
        </w:rPr>
      </w:r>
      <w:r>
        <w:rPr>
          <w:rFonts w:ascii="Arial" w:hAnsi="Arial" w:eastAsia="Arial" w:cs="Arial"/>
          <w:color w:val="000000" w:themeColor="text1"/>
        </w:rPr>
      </w:r>
      <w:r/>
    </w:p>
    <w:p>
      <w:pPr>
        <w:pBdr/>
        <w:spacing w:after="0" w:line="360" w:lineRule="auto"/>
        <w:ind/>
        <w:rPr>
          <w:rFonts w:ascii="Arial" w:hAnsi="Arial" w:eastAsia="Arial" w:cs="Arial"/>
          <w:color w:val="000000" w:themeColor="text1"/>
          <w:highlight w:val="none"/>
        </w:rPr>
      </w:pPr>
      <w:r>
        <w:rPr>
          <w:rFonts w:ascii="Arial" w:hAnsi="Arial" w:eastAsia="Arial" w:cs="Arial"/>
          <w:color w:val="000000" w:themeColor="text1"/>
        </w:rPr>
        <w:t xml:space="preserve">El presente proyecto consiste en el diseño e implementación de un Data Warehouse orientado al análisis de ventas en múltiples canales y mercados heterogéneos. El caso de estudio integra seis fuentes de </w:t>
      </w:r>
      <w:r>
        <w:rPr>
          <w:rFonts w:ascii="Arial" w:hAnsi="Arial" w:eastAsia="Arial" w:cs="Arial"/>
          <w:color w:val="000000" w:themeColor="text1"/>
        </w:rPr>
        <w:t xml:space="preserve">datos transaccionales y analíticas provenientes de distintos motores de base de datos, abarcando ventas de manufactura multinacional, comercio electrónico latinoamericano, retail pequeño y datos de comportamiento de consumidor almacenados en formato NoSQL.</w:t>
      </w:r>
      <w:r>
        <w:rPr>
          <w:rFonts w:ascii="Arial" w:hAnsi="Arial" w:cs="Arial"/>
          <w:color w:val="000000" w:themeColor="text1"/>
        </w:rPr>
      </w:r>
    </w:p>
    <w:p w14:paraId="45F85A8D">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eastAsia="Arial" w:cs="Arial"/>
          <w:color w:val="000000" w:themeColor="text1"/>
          <w:highlight w:val="none"/>
        </w:rPr>
      </w:pPr>
      <w:r>
        <w:rPr>
          <w:rFonts w:ascii="Arial" w:hAnsi="Arial" w:eastAsia="Arial" w:cs="Arial"/>
          <w:color w:val="000000" w:themeColor="text1"/>
        </w:rPr>
        <w:t xml:space="preserve">La problemática central que motiva este proyecto es la fragmentación de la información comercial en sistemas operacionales incompatibles entre sí. Una organización que opera en múltiples canales de venta </w:t>
      </w:r>
      <w:r>
        <w:rPr>
          <w:rFonts w:ascii="Arial" w:hAnsi="Arial" w:eastAsia="Arial" w:cs="Arial"/>
          <w:color w:val="000000" w:themeColor="text1"/>
        </w:rPr>
        <w:t xml:space="preserve">(B2B, online, retail físico) acumula datos en distintas tecnologías de base de datos, formatos y niveles de granularidad. Esta dispersión impide obtener una visión consolidada del negocio y dificulta la toma de decisiones estratégicas basadas en evidencia.</w:t>
      </w:r>
      <w:r>
        <w:rPr>
          <w:rFonts w:ascii="Arial" w:hAnsi="Arial" w:cs="Arial"/>
          <w:color w:val="000000" w:themeColor="text1"/>
        </w:rPr>
      </w:r>
    </w:p>
    <w:p w14:paraId="51E7BFCE">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eastAsia="Arial" w:cs="Arial"/>
          <w:color w:val="000000" w:themeColor="text1"/>
          <w:highlight w:val="none"/>
        </w:rPr>
      </w:pPr>
      <w:r>
        <w:rPr>
          <w:rFonts w:ascii="Arial" w:hAnsi="Arial" w:eastAsia="Arial" w:cs="Arial"/>
          <w:color w:val="000000" w:themeColor="text1"/>
        </w:rPr>
        <w:t xml:space="preserve">La c</w:t>
      </w:r>
      <w:r>
        <w:rPr>
          <w:rFonts w:ascii="Arial" w:hAnsi="Arial" w:eastAsia="Arial" w:cs="Arial"/>
          <w:color w:val="000000" w:themeColor="text1"/>
        </w:rPr>
        <w:t xml:space="preserve">onstrucción de un Data Warehouse unificado permite consolidar estas fuentes heterogéneas en un único modelo dimensional, habilitando el análisis comparativo entre canales, mercados y períodos de tiempo desde una sola plataforma de inteligencia de negocios.</w:t>
      </w:r>
      <w:r>
        <w:rPr>
          <w:rFonts w:ascii="Arial" w:hAnsi="Arial" w:cs="Arial"/>
          <w:color w:val="000000" w:themeColor="text1"/>
        </w:rPr>
      </w:r>
    </w:p>
    <w:p w14:paraId="525B7A8C">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Contexto del caso de estudio</w:t>
      </w:r>
      <w:r>
        <w:rPr>
          <w:rFonts w:ascii="Arial" w:hAnsi="Arial" w:cs="Arial"/>
          <w:color w:val="000000" w:themeColor="text1"/>
        </w:rPr>
      </w:r>
    </w:p>
    <w:p w14:paraId="49E37694">
      <w:pPr>
        <w:pBdr/>
        <w:spacing/>
        <w:ind/>
        <w:rPr/>
      </w:pPr>
      <w:r>
        <w:rPr>
          <w:rFonts w:ascii="Arial" w:hAnsi="Arial" w:eastAsia="Arial" w:cs="Arial"/>
          <w:color w:val="000000" w:themeColor="text1"/>
        </w:rPr>
      </w:r>
      <w:r>
        <w:rPr>
          <w:rFonts w:ascii="Arial" w:hAnsi="Arial" w:eastAsia="Arial" w:cs="Arial"/>
          <w:color w:val="000000" w:themeColor="text1"/>
        </w:rPr>
      </w:r>
      <w:r/>
    </w:p>
    <w:p>
      <w:pPr>
        <w:pBdr/>
        <w:spacing w:after="0" w:line="360" w:lineRule="auto"/>
        <w:ind/>
        <w:rPr>
          <w:rFonts w:ascii="Arial" w:hAnsi="Arial" w:eastAsia="Arial" w:cs="Arial"/>
          <w:color w:val="000000" w:themeColor="text1"/>
          <w:highlight w:val="none"/>
        </w:rPr>
      </w:pPr>
      <w:r>
        <w:rPr>
          <w:rFonts w:ascii="Arial" w:hAnsi="Arial" w:eastAsia="Arial" w:cs="Arial"/>
          <w:color w:val="000000" w:themeColor="text1"/>
        </w:rPr>
        <w:t xml:space="preserve">El proyecto integra datos de seis fuentes distintas que representan escenarios reales del sector comercial y de manufactur</w:t>
      </w:r>
      <w:r>
        <w:rPr>
          <w:rFonts w:ascii="Arial" w:hAnsi="Arial" w:eastAsia="Arial" w:cs="Arial"/>
          <w:color w:val="000000" w:themeColor="text1"/>
        </w:rPr>
        <w:t xml:space="preserve">a. WorldWideImporters corresponde a una empresa multinacional de distribución con miles de transacciones B2B. Brazilian E-Commerce Olist representa el canal de ventas online en el mercado latinoamericano. DifferentStoreSales y RetailStoreSales representan </w:t>
      </w:r>
      <w:r>
        <w:rPr>
          <w:rFonts w:ascii="Arial" w:hAnsi="Arial" w:eastAsia="Arial" w:cs="Arial"/>
          <w:color w:val="000000" w:themeColor="text1"/>
        </w:rPr>
        <w:t xml:space="preserve">el segmento de tiendas físicas pequeñas. MongoDB Analytics aporta datos de comportamiento de consumidor en formato NoSQL. SupermarketStoreBranchesSales actúa como referente externo de comparación con reportes operacionales de una cadena con 896 sucursales.</w:t>
      </w:r>
      <w:r>
        <w:rPr>
          <w:rFonts w:ascii="Arial" w:hAnsi="Arial" w:cs="Arial"/>
          <w:color w:val="000000" w:themeColor="text1"/>
        </w:rPr>
      </w:r>
    </w:p>
    <w:p w14:paraId="3431F55F">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Justificación del uso de un Data Warehouse</w:t>
      </w:r>
      <w:r>
        <w:rPr>
          <w:rFonts w:ascii="Arial" w:hAnsi="Arial" w:cs="Arial"/>
          <w:color w:val="000000" w:themeColor="text1"/>
        </w:rPr>
      </w:r>
    </w:p>
    <w:p w14:paraId="1AC486CE">
      <w:pPr>
        <w:pBdr/>
        <w:spacing/>
        <w:ind/>
        <w:rPr/>
      </w:pPr>
      <w:r>
        <w:rPr>
          <w:rFonts w:ascii="Arial" w:hAnsi="Arial" w:eastAsia="Arial" w:cs="Arial"/>
          <w:color w:val="000000" w:themeColor="text1"/>
        </w:rPr>
      </w:r>
      <w:r>
        <w:rPr>
          <w:rFonts w:ascii="Arial" w:hAnsi="Arial" w:eastAsia="Arial" w:cs="Arial"/>
          <w:color w:val="000000" w:themeColor="text1"/>
        </w:rPr>
      </w: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Ninguna organización real opera con un único sistema transaccional. La capacidad de integrar datos de PostgreSQL, SQL Server, SQLite y MongoDB en un único Dat</w:t>
      </w:r>
      <w:r>
        <w:rPr>
          <w:rFonts w:ascii="Arial" w:hAnsi="Arial" w:eastAsia="Arial" w:cs="Arial"/>
          <w:color w:val="000000" w:themeColor="text1"/>
        </w:rPr>
        <w:t xml:space="preserve">a Warehouse refleja el escenario empresarial estándar donde el historial tecnológico acumula sistemas diversos. Un Data Warehouse bien diseñado es agnóstico al motor de origen y permite consolidar la visión analítica sin alterar los sistemas operacionales.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Adicionalmente, el análisis parte de transacciones individuales con máxima gran</w:t>
      </w:r>
      <w:r>
        <w:rPr>
          <w:rFonts w:ascii="Arial" w:hAnsi="Arial" w:eastAsia="Arial" w:cs="Arial"/>
          <w:color w:val="000000" w:themeColor="text1"/>
        </w:rPr>
        <w:t xml:space="preserve">ularidad y construye agregaciones progresivas hasta llegar a indicadores clave por canal. Este enfoque permite auditar cada nivel de agregación y detectar pérdidas de información o inconsistencias que en un sistema puramente pre-agregado serían invisibles.</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Herramientas utilizadas</w:t>
      </w:r>
      <w:r>
        <w:rPr>
          <w:rFonts w:ascii="Arial" w:hAnsi="Arial" w:cs="Arial"/>
          <w:color w:val="000000" w:themeColor="text1"/>
        </w:rPr>
      </w:r>
    </w:p>
    <w:p w14:paraId="2347001B">
      <w:pPr>
        <w:pBdr/>
        <w:spacing/>
        <w:ind/>
        <w:rPr/>
      </w:pPr>
      <w:r>
        <w:rPr>
          <w:rFonts w:ascii="Arial" w:hAnsi="Arial" w:eastAsia="Arial" w:cs="Arial"/>
          <w:color w:val="000000" w:themeColor="text1"/>
        </w:rPr>
      </w:r>
      <w:r>
        <w:rPr>
          <w:rFonts w:ascii="Arial" w:hAnsi="Arial" w:eastAsia="Arial" w:cs="Arial"/>
          <w:color w:val="000000" w:themeColor="text1"/>
        </w:rPr>
      </w: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proyecto emplea PostgreSQL 15 como base de datos del Data Warehouse, con extensiones de Foreign Data Wrappers para la conexión virtual a los orígenes. El proceso ETL se implementa con dbt-core versión</w:t>
      </w:r>
      <w:r>
        <w:rPr>
          <w:rFonts w:ascii="Arial" w:hAnsi="Arial" w:eastAsia="Arial" w:cs="Arial"/>
          <w:color w:val="000000" w:themeColor="text1"/>
        </w:rPr>
        <w:t xml:space="preserve"> 1.11, que opera directamente sobre SQL, genera linaje de datos automático y produce documentación del pipeline como artefacto nativo. La visualización se realiza en Apache Superset, herramienta de Business Intelligence de código abierto que se conecta dir</w:t>
      </w:r>
      <w:r>
        <w:rPr>
          <w:rFonts w:ascii="Arial" w:hAnsi="Arial" w:eastAsia="Arial" w:cs="Arial"/>
          <w:color w:val="000000" w:themeColor="text1"/>
        </w:rPr>
        <w:t xml:space="preserve">ectamente a PostgreSQL sin capas intermedias, eliminando el cuello de botella de importación de datos que presentan herramientas como Power BI en su versión gratuita. Todo el entorno se despliega mediante Docker Compose para garantizar la reproducibilidad.</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Alcance del proyecto</w:t>
      </w:r>
      <w:r>
        <w:rPr>
          <w:rFonts w:ascii="Arial" w:hAnsi="Arial" w:cs="Arial"/>
          <w:color w:val="000000" w:themeColor="text1"/>
        </w:rPr>
      </w:r>
    </w:p>
    <w:p w14:paraId="3346EA15">
      <w:pPr>
        <w:pBdr/>
        <w:spacing/>
        <w:ind/>
        <w:rPr/>
      </w:pPr>
      <w:r>
        <w:rPr>
          <w:rFonts w:ascii="Arial" w:hAnsi="Arial" w:eastAsia="Arial" w:cs="Arial"/>
          <w:color w:val="000000" w:themeColor="text1"/>
        </w:rPr>
      </w:r>
      <w:r>
        <w:rPr>
          <w:rFonts w:ascii="Arial" w:hAnsi="Arial" w:eastAsia="Arial" w:cs="Arial"/>
          <w:color w:val="000000" w:themeColor="text1"/>
        </w:rPr>
      </w: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proyecto cubre el diseño completo del modelo dimensional siguiendo la metodología HEFESTO, la implementación de la arquitectura de carga virtual mediante Foreign Data Wrappers, el desarrollo de los modelos dbt para staging, intermediate </w:t>
      </w:r>
      <w:r>
        <w:rPr>
          <w:rFonts w:ascii="Arial" w:hAnsi="Arial" w:eastAsia="Arial" w:cs="Arial"/>
          <w:color w:val="000000" w:themeColor="text1"/>
        </w:rPr>
        <w:t xml:space="preserve">y marts, la materialización de la tabla de hechos con aproximadamente 445 000 registros provenientes de los cuatro orígenes transaccionales, y la construcción de dashboards analíticos en Apache Superset para responder las 15 preguntas de negocio definidas.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br w:type="page" w:clear="all"/>
      </w:r>
      <w:r>
        <w:rPr>
          <w:rFonts w:ascii="Arial" w:hAnsi="Arial" w:eastAsia="Arial" w:cs="Arial"/>
          <w:color w:val="000000" w:themeColor="text1"/>
        </w:rPr>
      </w:r>
    </w:p>
    <w:p>
      <w:pPr>
        <w:pStyle w:val="693"/>
        <w:pBdr/>
        <w:spacing w:line="360" w:lineRule="auto"/>
        <w:ind/>
        <w:rPr>
          <w:rFonts w:ascii="Arial" w:hAnsi="Arial" w:cs="Arial"/>
          <w:color w:val="000000" w:themeColor="text1"/>
        </w:rPr>
      </w:pPr>
      <w:r>
        <w:rPr>
          <w:rFonts w:ascii="Arial" w:hAnsi="Arial" w:eastAsia="Arial" w:cs="Arial"/>
          <w:color w:val="000000" w:themeColor="text1"/>
        </w:rPr>
        <w:t xml:space="preserve">2. Objetivos</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2.1 Objetivo General</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Diseñar e implementar una solución de inteligencia de negocio</w:t>
      </w:r>
      <w:r>
        <w:rPr>
          <w:rFonts w:ascii="Arial" w:hAnsi="Arial" w:eastAsia="Arial" w:cs="Arial"/>
          <w:color w:val="000000" w:themeColor="text1"/>
        </w:rPr>
        <w:t xml:space="preserve">s mediante un Data Warehouse utilizando la metodología HEFESTO, procesos ETL virtuales con dbt y Foreign Data Wrappers, y visualización de indicadores en Apache Superset, para apoyar la toma de decisiones en el análisis de ventas multicanal y multimercado.</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2.2 Objetivos Específicos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Identificar los requerimientos de información del negocio mediante la definición de 15 preguntas de negocio organizadas por datamart y por el DWH consolidado.</w:t>
      </w:r>
      <w:r>
        <w:rPr>
          <w:rFonts w:ascii="Arial" w:hAnsi="Arial" w:eastAsia="Arial" w:cs="Arial"/>
          <w:color w:val="000000" w:themeColor="text1"/>
        </w:rPr>
      </w:r>
    </w:p>
    <w:p>
      <w:pPr>
        <w:pBdr/>
        <w:spacing w:after="0" w:line="360" w:lineRule="auto"/>
        <w:ind/>
        <w:rPr>
          <w:rFonts w:ascii="Arial" w:hAnsi="Arial" w:eastAsia="Arial" w:cs="Arial"/>
          <w:color w:val="000000" w:themeColor="text1"/>
          <w:highlight w:val="none"/>
        </w:rPr>
      </w:pPr>
      <w:r>
        <w:rPr>
          <w:rFonts w:ascii="Arial" w:hAnsi="Arial" w:eastAsia="Arial" w:cs="Arial"/>
          <w:color w:val="000000" w:themeColor="text1"/>
        </w:rPr>
        <w:t xml:space="preserve">Diseñar el Data Warehouse siguiendo la metodología HEFESTO en su enfoque top-down, derivando indicadores, perspectivas y el modelo dimensional a partir de las preguntas de negocio.</w:t>
      </w:r>
      <w:r>
        <w:rPr>
          <w:rFonts w:ascii="Arial" w:hAnsi="Arial" w:cs="Arial"/>
          <w:color w:val="000000" w:themeColor="text1"/>
        </w:rPr>
      </w:r>
    </w:p>
    <w:p w14:paraId="162D630C">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eastAsia="Arial" w:cs="Arial"/>
          <w:color w:val="000000" w:themeColor="text1"/>
          <w:highlight w:val="none"/>
        </w:rPr>
      </w:pPr>
      <w:r>
        <w:rPr>
          <w:rFonts w:ascii="Arial" w:hAnsi="Arial" w:eastAsia="Arial" w:cs="Arial"/>
          <w:color w:val="000000" w:themeColor="text1"/>
        </w:rPr>
        <w:t xml:space="preserve">Implementar los procesos ETL mediante una arquitectura virtual basada en Foreign Data Wrappers y modelos dbt, donde los datos se transforman en memoria sin realizar copias físicas intermedias hasta la carga final en los marts.</w:t>
      </w:r>
      <w:r>
        <w:rPr>
          <w:rFonts w:ascii="Arial" w:hAnsi="Arial" w:cs="Arial"/>
          <w:color w:val="000000" w:themeColor="text1"/>
        </w:rPr>
      </w:r>
    </w:p>
    <w:p w14:paraId="606FA48A">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eastAsia="Arial" w:cs="Arial"/>
          <w:color w:val="000000" w:themeColor="text1"/>
          <w:highlight w:val="none"/>
        </w:rPr>
      </w:pPr>
      <w:r>
        <w:rPr>
          <w:rFonts w:ascii="Arial" w:hAnsi="Arial" w:eastAsia="Arial" w:cs="Arial"/>
          <w:color w:val="000000" w:themeColor="text1"/>
        </w:rPr>
        <w:t xml:space="preserve">Construir el modelo dimensional completo con una tabla de hechos central y ocho dimensiones que integran datos de cuatro orígenes transaccionales heterogéneos.</w:t>
      </w:r>
      <w:r>
        <w:rPr>
          <w:rFonts w:ascii="Arial" w:hAnsi="Arial" w:cs="Arial"/>
          <w:color w:val="000000" w:themeColor="text1"/>
        </w:rPr>
      </w:r>
    </w:p>
    <w:p w14:paraId="157419C6">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eastAsia="Arial" w:cs="Arial"/>
          <w:color w:val="000000" w:themeColor="text1"/>
          <w:highlight w:val="none"/>
        </w:rPr>
      </w:pPr>
      <w:r>
        <w:rPr>
          <w:rFonts w:ascii="Arial" w:hAnsi="Arial" w:eastAsia="Arial" w:cs="Arial"/>
          <w:color w:val="000000" w:themeColor="text1"/>
        </w:rPr>
        <w:t xml:space="preserve">Elaborar dashboards interactivos en Apache Superset que respondan las preguntas de negocio planteadas mediante visualizaciones específicas para cada datamart.</w:t>
      </w:r>
      <w:r>
        <w:rPr>
          <w:rFonts w:ascii="Arial" w:hAnsi="Arial" w:cs="Arial"/>
          <w:color w:val="000000" w:themeColor="text1"/>
        </w:rPr>
      </w:r>
    </w:p>
    <w:p w14:paraId="2908AFB8">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Analizar los resultados obtenidos comparando el comportamiento de ventas entre los distintos canales, mercados y períodos de tiempo integrados en el DWH.</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br w:type="page" w:clear="all"/>
      </w:r>
      <w:r>
        <w:rPr>
          <w:rFonts w:ascii="Arial" w:hAnsi="Arial" w:eastAsia="Arial" w:cs="Arial"/>
          <w:color w:val="000000" w:themeColor="text1"/>
        </w:rPr>
      </w:r>
    </w:p>
    <w:p>
      <w:pPr>
        <w:pStyle w:val="693"/>
        <w:pBdr/>
        <w:spacing w:line="360" w:lineRule="auto"/>
        <w:ind/>
        <w:rPr>
          <w:rFonts w:ascii="Arial" w:hAnsi="Arial" w:cs="Arial"/>
          <w:color w:val="000000" w:themeColor="text1"/>
        </w:rPr>
      </w:pPr>
      <w:r>
        <w:rPr>
          <w:rFonts w:ascii="Arial" w:hAnsi="Arial" w:eastAsia="Arial" w:cs="Arial"/>
          <w:color w:val="000000" w:themeColor="text1"/>
        </w:rPr>
        <w:t xml:space="preserve">3. Descripción de la Organización o Caso de Estudio</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3.1 Antecedentes</w:t>
      </w:r>
      <w:r>
        <w:rPr>
          <w:rFonts w:ascii="Arial" w:hAnsi="Arial" w:eastAsia="Arial" w:cs="Arial"/>
          <w:color w:val="000000" w:themeColor="text1"/>
        </w:rPr>
      </w:r>
    </w:p>
    <w:p>
      <w:pPr>
        <w:pBdr/>
        <w:spacing w:after="0" w:line="360" w:lineRule="auto"/>
        <w:ind/>
        <w:rPr>
          <w:rFonts w:ascii="Arial" w:hAnsi="Arial" w:eastAsia="Arial" w:cs="Arial"/>
          <w:color w:val="000000" w:themeColor="text1"/>
          <w:highlight w:val="none"/>
        </w:rPr>
      </w:pPr>
      <w:r>
        <w:rPr>
          <w:rFonts w:ascii="Arial" w:hAnsi="Arial" w:eastAsia="Arial" w:cs="Arial"/>
          <w:color w:val="000000" w:themeColor="text1"/>
        </w:rPr>
        <w:t xml:space="preserve">El proyecto toma como caso de estudio un escenario de integración de datos comerciales heterogéneos qu</w:t>
      </w:r>
      <w:r>
        <w:rPr>
          <w:rFonts w:ascii="Arial" w:hAnsi="Arial" w:eastAsia="Arial" w:cs="Arial"/>
          <w:color w:val="000000" w:themeColor="text1"/>
        </w:rPr>
        <w:t xml:space="preserve">e representa la situación típica de una organización con múltiples canales de venta y sistemas de información desconectados. Las seis fuentes de datos seleccionadas provienen de dominios distintos pero complementarios del sector comercial y de manufactura.</w:t>
      </w:r>
      <w:r>
        <w:rPr>
          <w:rFonts w:ascii="Arial" w:hAnsi="Arial" w:cs="Arial"/>
          <w:color w:val="000000" w:themeColor="text1"/>
        </w:rPr>
      </w:r>
    </w:p>
    <w:p w14:paraId="3FB2AA07">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eastAsia="Arial" w:cs="Arial"/>
          <w:color w:val="000000" w:themeColor="text1"/>
          <w:highlight w:val="none"/>
        </w:rPr>
      </w:pPr>
      <w:r>
        <w:rPr>
          <w:rFonts w:ascii="Arial" w:hAnsi="Arial" w:eastAsia="Arial" w:cs="Arial"/>
          <w:color w:val="000000" w:themeColor="text1"/>
        </w:rPr>
        <w:t xml:space="preserve">WorldWideImporters es una base de datos transaccional de Mic</w:t>
      </w:r>
      <w:r>
        <w:rPr>
          <w:rFonts w:ascii="Arial" w:hAnsi="Arial" w:eastAsia="Arial" w:cs="Arial"/>
          <w:color w:val="000000" w:themeColor="text1"/>
        </w:rPr>
        <w:t xml:space="preserve">rosoft que simula las operaciones de una empresa multinacional de importación y distribución. Contiene aproximadamente 228 000 registros de líneas de venta individuales con información detallada de clientes, productos, precios, métodos de pago y geografía.</w:t>
      </w:r>
      <w:r>
        <w:rPr>
          <w:rFonts w:ascii="Arial" w:hAnsi="Arial" w:cs="Arial"/>
          <w:color w:val="000000" w:themeColor="text1"/>
        </w:rPr>
      </w:r>
    </w:p>
    <w:p w14:paraId="72D642C8">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eastAsia="Arial" w:cs="Arial"/>
          <w:color w:val="000000" w:themeColor="text1"/>
          <w:highlight w:val="none"/>
        </w:rPr>
      </w:pPr>
      <w:r>
        <w:rPr>
          <w:rFonts w:ascii="Arial" w:hAnsi="Arial" w:eastAsia="Arial" w:cs="Arial"/>
          <w:color w:val="000000" w:themeColor="text1"/>
        </w:rPr>
        <w:t xml:space="preserve">Brazilian E-Commerce Public Dataset de Olist es un conjunto de datos real a</w:t>
      </w:r>
      <w:r>
        <w:rPr>
          <w:rFonts w:ascii="Arial" w:hAnsi="Arial" w:eastAsia="Arial" w:cs="Arial"/>
          <w:color w:val="000000" w:themeColor="text1"/>
        </w:rPr>
        <w:t xml:space="preserve">nonimizado de una plataforma de comercio electrónico brasileña. Contiene más de 112 000 pedidos con información de productos, pagos en cuotas, tiempos de entrega y calificaciones de los clientes, representando el canal online en el mercado latinoamericano.</w:t>
      </w:r>
      <w:r>
        <w:rPr>
          <w:rFonts w:ascii="Arial" w:hAnsi="Arial" w:cs="Arial"/>
          <w:color w:val="000000" w:themeColor="text1"/>
        </w:rPr>
      </w:r>
    </w:p>
    <w:p w14:paraId="53D1D03D">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eastAsia="Arial" w:cs="Arial"/>
          <w:color w:val="000000" w:themeColor="text1"/>
          <w:highlight w:val="none"/>
        </w:rPr>
      </w:pPr>
      <w:r>
        <w:rPr>
          <w:rFonts w:ascii="Arial" w:hAnsi="Arial" w:eastAsia="Arial" w:cs="Arial"/>
          <w:color w:val="000000" w:themeColor="text1"/>
        </w:rPr>
        <w:t xml:space="preserve">DifferentStoreSales y RetailStoreSales son bases de datos SQLite que representan el segmento de tiendas físicas pequeñas, con información sobre ventas detalladas, perfiles demográficos de clientes y datos de tiendas en centros comerciales.</w:t>
      </w:r>
      <w:r>
        <w:rPr>
          <w:rFonts w:ascii="Arial" w:hAnsi="Arial" w:cs="Arial"/>
          <w:color w:val="000000" w:themeColor="text1"/>
        </w:rPr>
      </w:r>
    </w:p>
    <w:p w14:paraId="7BC63AB5">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eastAsia="Arial" w:cs="Arial"/>
          <w:color w:val="000000" w:themeColor="text1"/>
          <w:highlight w:val="none"/>
        </w:rPr>
      </w:pPr>
      <w:r>
        <w:rPr>
          <w:rFonts w:ascii="Arial" w:hAnsi="Arial" w:eastAsia="Arial" w:cs="Arial"/>
          <w:color w:val="000000" w:themeColor="text1"/>
        </w:rPr>
        <w:t xml:space="preserve">SupermarketStoreBranchesSales</w:t>
      </w:r>
      <w:r>
        <w:rPr>
          <w:rFonts w:ascii="Arial" w:hAnsi="Arial" w:eastAsia="Arial" w:cs="Arial"/>
          <w:color w:val="000000" w:themeColor="text1"/>
        </w:rPr>
        <w:t xml:space="preserve"> es una fuente SQLite con reportes operacionales diarios agregados de 896 sucursales de una cadena de supermercados. Esta fuente no se integra al modelo dimensional por incompatibilidad de granularidad, sino que actúa como referente externo de comparación.</w:t>
      </w:r>
      <w:r>
        <w:rPr>
          <w:rFonts w:ascii="Arial" w:hAnsi="Arial" w:cs="Arial"/>
          <w:color w:val="000000" w:themeColor="text1"/>
        </w:rPr>
      </w:r>
    </w:p>
    <w:p w14:paraId="34B3F039">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MongoDB Analytics corresponde a datos de comportamiento de consumidores exportados desde una base de datos MongoDB, procesados como CSV y cargados en PostgreSQL para análisis comparativo de tendencias.</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3.2 Problemática Identificada</w:t>
      </w:r>
      <w:r>
        <w:rPr>
          <w:rFonts w:ascii="Arial" w:hAnsi="Arial" w:cs="Arial"/>
          <w:color w:val="000000" w:themeColor="text1"/>
        </w:rPr>
      </w:r>
    </w:p>
    <w:p w14:paraId="0E8DEB83">
      <w:pPr>
        <w:pBdr/>
        <w:spacing/>
        <w:ind/>
        <w:rPr/>
      </w:pPr>
      <w:r>
        <w:rPr>
          <w:rFonts w:ascii="Arial" w:hAnsi="Arial" w:eastAsia="Arial" w:cs="Arial"/>
          <w:color w:val="000000" w:themeColor="text1"/>
        </w:rPr>
      </w:r>
      <w:r>
        <w:rPr>
          <w:rFonts w:ascii="Arial" w:hAnsi="Arial" w:eastAsia="Arial" w:cs="Arial"/>
          <w:color w:val="000000" w:themeColor="text1"/>
        </w:rPr>
      </w:r>
      <w:r/>
    </w:p>
    <w:p>
      <w:pPr>
        <w:pBdr/>
        <w:spacing w:after="0" w:line="360" w:lineRule="auto"/>
        <w:ind/>
        <w:rPr>
          <w:rFonts w:ascii="Arial" w:hAnsi="Arial" w:eastAsia="Arial" w:cs="Arial"/>
          <w:color w:val="000000" w:themeColor="text1"/>
          <w:highlight w:val="none"/>
        </w:rPr>
      </w:pPr>
      <w:r>
        <w:rPr>
          <w:rFonts w:ascii="Arial" w:hAnsi="Arial" w:eastAsia="Arial" w:cs="Arial"/>
          <w:color w:val="000000" w:themeColor="text1"/>
        </w:rPr>
        <w:t xml:space="preserve">La principal dificultad para obtener información estratégica en este escenario radica en la heterogeneidad tecnológica de las fuentes de datos. Los orígenes utilizan cuatro motores de ba</w:t>
      </w:r>
      <w:r>
        <w:rPr>
          <w:rFonts w:ascii="Arial" w:hAnsi="Arial" w:eastAsia="Arial" w:cs="Arial"/>
          <w:color w:val="000000" w:themeColor="text1"/>
        </w:rPr>
        <w:t xml:space="preserve">se de datos distintos, tres de ellos con tecnologías de acceso remoto diferentes: postgres_fdw para PostgreSQL, tds_fdw para SQL Server y sqlite_fdw para SQLite. Esta diversidad tecnológica impide consolidar la información sin un proceso ETL especializado.</w:t>
      </w:r>
      <w:r>
        <w:rPr>
          <w:rFonts w:ascii="Arial" w:hAnsi="Arial" w:cs="Arial"/>
          <w:color w:val="000000" w:themeColor="text1"/>
        </w:rPr>
      </w:r>
    </w:p>
    <w:p w14:paraId="0C2D1A6C">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eastAsia="Arial" w:cs="Arial"/>
          <w:color w:val="000000" w:themeColor="text1"/>
          <w:highlight w:val="none"/>
        </w:rPr>
      </w:pPr>
      <w:r>
        <w:rPr>
          <w:rFonts w:ascii="Arial" w:hAnsi="Arial" w:eastAsia="Arial" w:cs="Arial"/>
          <w:color w:val="000000" w:themeColor="text1"/>
        </w:rPr>
        <w:t xml:space="preserve">Adicionalmente, cada fuente maneja tipos de datos, formatos de fecha, codificaciones de caracteres y esquemas de identificadores distintos. Por ejemplo, WorldWideImporters almacena las fechas como texto en formato DD/</w:t>
      </w:r>
      <w:r>
        <w:rPr>
          <w:rFonts w:ascii="Arial" w:hAnsi="Arial" w:eastAsia="Arial" w:cs="Arial"/>
          <w:color w:val="000000" w:themeColor="text1"/>
        </w:rPr>
        <w:t xml:space="preserve">MM/YYYY, SQL Server devuelve los tipos DATE como cadenas de texto en formato anglosajón a través del driver tds_fdw, y los datasets SQLite no tienen tipado estricto en sus columnas. Homologar estos formatos requiere transformaciones específicas por fuente.</w:t>
      </w:r>
      <w:r>
        <w:rPr>
          <w:rFonts w:ascii="Arial" w:hAnsi="Arial" w:cs="Arial"/>
          <w:color w:val="000000" w:themeColor="text1"/>
        </w:rPr>
      </w:r>
    </w:p>
    <w:p w14:paraId="5FA9D108">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eastAsia="Arial" w:cs="Arial"/>
          <w:color w:val="000000" w:themeColor="text1"/>
          <w:highlight w:val="none"/>
        </w:rPr>
      </w:pPr>
      <w:r>
        <w:rPr>
          <w:rFonts w:ascii="Arial" w:hAnsi="Arial" w:eastAsia="Arial" w:cs="Arial"/>
          <w:color w:val="000000" w:themeColor="text1"/>
        </w:rPr>
        <w:t xml:space="preserve">Finalmente, la ausencia de un modelo analítico unificado impide comparar indicadores entre canales. Sin el Data Ware</w:t>
      </w:r>
      <w:r>
        <w:rPr>
          <w:rFonts w:ascii="Arial" w:hAnsi="Arial" w:eastAsia="Arial" w:cs="Arial"/>
          <w:color w:val="000000" w:themeColor="text1"/>
        </w:rPr>
        <w:t xml:space="preserve">house no es posible responder preguntas como cuál canal genera mayor ticket promedio, cómo se compara el e-commerce latinoamericano con el retail físico, o si los patrones de venta de las tiendas pequeñas son coherentes con los reportes de cadenas grandes.</w:t>
      </w:r>
      <w:r>
        <w:rPr>
          <w:rFonts w:ascii="Arial" w:hAnsi="Arial" w:cs="Arial"/>
          <w:color w:val="000000" w:themeColor="text1"/>
        </w:rPr>
      </w:r>
    </w:p>
    <w:p w14:paraId="5A9570A5">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3.3 Requerimientos de Información</w:t>
      </w:r>
      <w:r>
        <w:rPr>
          <w:rFonts w:ascii="Arial" w:hAnsi="Arial" w:cs="Arial"/>
          <w:color w:val="000000" w:themeColor="text1"/>
        </w:rPr>
      </w:r>
    </w:p>
    <w:p w14:paraId="29CA0F59">
      <w:pPr>
        <w:pBdr/>
        <w:spacing/>
        <w:ind/>
        <w:rPr/>
      </w:pPr>
      <w:r>
        <w:rPr>
          <w:rFonts w:ascii="Arial" w:hAnsi="Arial" w:eastAsia="Arial" w:cs="Arial"/>
          <w:color w:val="000000" w:themeColor="text1"/>
        </w:rPr>
      </w:r>
      <w:r>
        <w:rPr>
          <w:rFonts w:ascii="Arial" w:hAnsi="Arial" w:eastAsia="Arial" w:cs="Arial"/>
          <w:color w:val="000000" w:themeColor="text1"/>
        </w:rPr>
      </w:r>
      <w:r/>
    </w:p>
    <w:p>
      <w:pPr>
        <w:pBdr/>
        <w:spacing w:after="0" w:line="360" w:lineRule="auto"/>
        <w:ind/>
        <w:rPr>
          <w:rFonts w:ascii="Arial" w:hAnsi="Arial" w:eastAsia="Arial" w:cs="Arial"/>
          <w:color w:val="000000" w:themeColor="text1"/>
          <w:highlight w:val="none"/>
        </w:rPr>
      </w:pPr>
      <w:r>
        <w:rPr>
          <w:rFonts w:ascii="Arial" w:hAnsi="Arial" w:eastAsia="Arial" w:cs="Arial"/>
          <w:color w:val="000000" w:themeColor="text1"/>
        </w:rPr>
        <w:t xml:space="preserve">El proyecto define 15 preguntas de negocio organizadas por datamart origen y por el DWH consolidado, que guían todo el diseño del modelo dimensional.</w:t>
      </w:r>
      <w:r>
        <w:rPr>
          <w:rFonts w:ascii="Arial" w:hAnsi="Arial" w:cs="Arial"/>
          <w:color w:val="000000" w:themeColor="text1"/>
        </w:rPr>
      </w:r>
    </w:p>
    <w:p w14:paraId="2EFAF6BB">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Para el datamart de manufactura multinacional WorldWideImporters se </w:t>
      </w:r>
      <w:r>
        <w:rPr>
          <w:rFonts w:ascii="Arial" w:hAnsi="Arial" w:eastAsia="Arial" w:cs="Arial"/>
          <w:color w:val="000000" w:themeColor="text1"/>
        </w:rPr>
        <w:t xml:space="preserve">plantean tres preguntas: cuáles son los productos con mayor volumen de ventas por región geográfica, cómo evoluciona el ticket promedio por cliente a lo largo del tiempo, y si existen diferencias estacionales en el volumen de pedidos por línea de producto.</w:t>
      </w:r>
      <w:r>
        <w:rPr>
          <w:rFonts w:ascii="Arial" w:hAnsi="Arial" w:eastAsia="Arial" w:cs="Arial"/>
          <w:color w:val="000000" w:themeColor="text1"/>
        </w:rPr>
      </w:r>
    </w:p>
    <w:p>
      <w:pPr>
        <w:pBdr/>
        <w:spacing w:after="0" w:line="360" w:lineRule="auto"/>
        <w:ind/>
        <w:rPr>
          <w:rFonts w:ascii="Arial" w:hAnsi="Arial" w:eastAsia="Arial" w:cs="Arial"/>
          <w:color w:val="000000" w:themeColor="text1"/>
          <w:highlight w:val="none"/>
        </w:rPr>
      </w:pPr>
      <w:r>
        <w:rPr>
          <w:rFonts w:ascii="Arial" w:hAnsi="Arial" w:eastAsia="Arial" w:cs="Arial"/>
          <w:color w:val="000000" w:themeColor="text1"/>
        </w:rPr>
        <w:t xml:space="preserve">Para el datamart de e-commerce online Olist se plantean las preguntas: cuá</w:t>
      </w:r>
      <w:r>
        <w:rPr>
          <w:rFonts w:ascii="Arial" w:hAnsi="Arial" w:eastAsia="Arial" w:cs="Arial"/>
          <w:color w:val="000000" w:themeColor="text1"/>
        </w:rPr>
        <w:t xml:space="preserve">l es el método de pago predominante y cómo impacta en el ticket promedio, qué categorías de producto generan mayor ingreso en el canal online versus el canal offline, y cuánto tiempo transcurre entre el pedido y la entrega y cómo afecta esto a la recompra.</w:t>
      </w:r>
      <w:r>
        <w:rPr>
          <w:rFonts w:ascii="Arial" w:hAnsi="Arial" w:cs="Arial"/>
          <w:color w:val="000000" w:themeColor="text1"/>
        </w:rPr>
      </w:r>
    </w:p>
    <w:p w14:paraId="33D8A469">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eastAsia="Arial" w:cs="Arial"/>
          <w:color w:val="000000" w:themeColor="text1"/>
          <w:highlight w:val="none"/>
        </w:rPr>
      </w:pPr>
      <w:r>
        <w:rPr>
          <w:rFonts w:ascii="Arial" w:hAnsi="Arial" w:eastAsia="Arial" w:cs="Arial"/>
          <w:color w:val="000000" w:themeColor="text1"/>
        </w:rPr>
        <w:t xml:space="preserve">Para el datamart de retail pequeño combinado DifferentStoreSales y RetailStoreSales se plantean:</w:t>
      </w:r>
      <w:r>
        <w:rPr>
          <w:rFonts w:ascii="Arial" w:hAnsi="Arial" w:eastAsia="Arial" w:cs="Arial"/>
          <w:color w:val="000000" w:themeColor="text1"/>
        </w:rPr>
        <w:t xml:space="preserve"> qué temporadas del año concentran el mayor volumen de ventas en tiendas pequeñas, si existe correlación entre el método de pago y el monto de la compra en retail pequeño, y cómo varía el perfil demográfico del cliente según categoría de producto comprada.</w:t>
      </w:r>
      <w:r>
        <w:rPr>
          <w:rFonts w:ascii="Arial" w:hAnsi="Arial" w:cs="Arial"/>
          <w:color w:val="000000" w:themeColor="text1"/>
        </w:rPr>
      </w:r>
    </w:p>
    <w:p w14:paraId="6D513DE0">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eastAsia="Arial" w:cs="Arial"/>
          <w:color w:val="000000" w:themeColor="text1"/>
          <w:highlight w:val="none"/>
        </w:rPr>
      </w:pPr>
      <w:r>
        <w:rPr>
          <w:rFonts w:ascii="Arial" w:hAnsi="Arial" w:eastAsia="Arial" w:cs="Arial"/>
          <w:color w:val="000000" w:themeColor="text1"/>
        </w:rPr>
        <w:t xml:space="preserve">Para </w:t>
      </w:r>
      <w:r>
        <w:rPr>
          <w:rFonts w:ascii="Arial" w:hAnsi="Arial" w:eastAsia="Arial" w:cs="Arial"/>
          <w:color w:val="000000" w:themeColor="text1"/>
        </w:rPr>
        <w:t xml:space="preserve">la integración NoSQL con MongoDB se plantean: qué patrones de frecuencia de compra se identifican a nivel de consumidor individual, y si los patrones de tendencia de ventas en el modelo NoSQL son consistentes con los registros transaccionales relacionales.</w:t>
      </w:r>
      <w:r>
        <w:rPr>
          <w:rFonts w:ascii="Arial" w:hAnsi="Arial" w:cs="Arial"/>
          <w:color w:val="000000" w:themeColor="text1"/>
        </w:rPr>
      </w:r>
    </w:p>
    <w:p w14:paraId="73681B5B">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Para el DWH con</w:t>
      </w:r>
      <w:r>
        <w:rPr>
          <w:rFonts w:ascii="Arial" w:hAnsi="Arial" w:eastAsia="Arial" w:cs="Arial"/>
          <w:color w:val="000000" w:themeColor="text1"/>
        </w:rPr>
        <w:t xml:space="preserve">solidado se plantean cuatro preguntas integradoras: si los KPIs diarios del DWH son consistentes con los reportes de resumen de SupermarketStoreBranchesSales, qué canal de venta genera mayor ticket promedio por transacción controlando por región y temporad</w:t>
      </w:r>
      <w:r>
        <w:rPr>
          <w:rFonts w:ascii="Arial" w:hAnsi="Arial" w:eastAsia="Arial" w:cs="Arial"/>
          <w:color w:val="000000" w:themeColor="text1"/>
        </w:rPr>
        <w:t xml:space="preserve">a, si existen diferencias en el comportamiento de ventas entre el mercado latinoamericano y el mercado multinacional, y cuál es la distribución del ingreso por sucursal en cadenas grandes comparada con el ingreso total agregado de tiendas pequeñas del DWH.</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br w:type="page" w:clear="all"/>
      </w:r>
      <w:r>
        <w:rPr>
          <w:rFonts w:ascii="Arial" w:hAnsi="Arial" w:eastAsia="Arial" w:cs="Arial"/>
          <w:color w:val="000000" w:themeColor="text1"/>
        </w:rPr>
      </w:r>
    </w:p>
    <w:p>
      <w:pPr>
        <w:pStyle w:val="693"/>
        <w:pBdr/>
        <w:spacing w:line="360" w:lineRule="auto"/>
        <w:ind/>
        <w:rPr>
          <w:rFonts w:ascii="Arial" w:hAnsi="Arial" w:cs="Arial"/>
          <w:color w:val="000000" w:themeColor="text1"/>
        </w:rPr>
      </w:pPr>
      <w:r>
        <w:rPr>
          <w:rFonts w:ascii="Arial" w:hAnsi="Arial" w:eastAsia="Arial" w:cs="Arial"/>
          <w:color w:val="000000" w:themeColor="text1"/>
        </w:rPr>
        <w:t xml:space="preserve">4. Desarrollo de la Metodología HEFESTO</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4.1 Análisis de Requerimientos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La metodología HEFESTO se aplica en su enfoque top-down, partiendo de las preguntas de negocio definidas en la sección 3.3 para derivar los indicadores necesarios y las perspectivas de análisis requeridas.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Los usuarios involucrados son analistas de ventas, gerentes comerciales y directivos que requieren visión consolidada del desempeño come</w:t>
      </w:r>
      <w:r>
        <w:rPr>
          <w:rFonts w:ascii="Arial" w:hAnsi="Arial" w:eastAsia="Arial" w:cs="Arial"/>
          <w:color w:val="000000" w:themeColor="text1"/>
        </w:rPr>
        <w:t xml:space="preserve">rcial en múltiples canales. Las necesidades de información abarcan el análisis temporal de ventas, la comparación entre canales y mercados, la segmentación por método de pago, la caracterización geográfica de clientes y la evaluación de tiempos de entrega.</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Los indicadores derivados de las preguntas de negocio son: total de ventas por monto, ticket promedio por transacción, volumen de unidades vendidas, margen de ganancia bruta, participación por </w:t>
      </w:r>
      <w:r>
        <w:rPr>
          <w:rFonts w:ascii="Arial" w:hAnsi="Arial" w:eastAsia="Arial" w:cs="Arial"/>
          <w:color w:val="000000" w:themeColor="text1"/>
        </w:rPr>
        <w:t xml:space="preserve">canal, distribución de métodos de pago, variación estacional mes a mes, frecuencia de compra por cliente, tiempo de entrega en días, cuotas promedio por pago, compras previas del cliente y delta entre los KPIs del DWH y los reportes de SupermarketBranches.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Las perspectivas de análisis derivadas son ocho: Tiempo para análisis temporal y estacionalidad, Producto para identificar qué se vende, Cliente para caracterizar quié</w:t>
      </w:r>
      <w:r>
        <w:rPr>
          <w:rFonts w:ascii="Arial" w:hAnsi="Arial" w:eastAsia="Arial" w:cs="Arial"/>
          <w:color w:val="000000" w:themeColor="text1"/>
        </w:rPr>
        <w:t xml:space="preserve">n compra, Región para determinar dónde se vende, Método de Pago para analizar cómo se paga, Canal para comparar el tipo de venta, Tienda para identificar el punto de venta en DifferentStoreSales, y Origen Sistema para mantener la trazabilidad cross-fuente.</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4.2 Análisis de las Fuentes de Datos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proyecto utiliza seis fuentes de datos en distintos motores y formatos. WorldWideImporters se aloja en un servidor PostgreSQL 15 en el contenedor src_postgres, con esquema púb</w:t>
      </w:r>
      <w:r>
        <w:rPr>
          <w:rFonts w:ascii="Arial" w:hAnsi="Arial" w:eastAsia="Arial" w:cs="Arial"/>
          <w:color w:val="000000" w:themeColor="text1"/>
        </w:rPr>
        <w:t xml:space="preserve">lico que contiene las tablas transaccionales de ventas, clientes, productos y métodos de pago. Brazilian E-Commerce Olist se importó como CSV al esquema dwh de SQL Server 2022 en el contenedor src_sqlserver. DifferentStoreSales, SupermarketStoreBranchesSal</w:t>
      </w:r>
      <w:r>
        <w:rPr>
          <w:rFonts w:ascii="Arial" w:hAnsi="Arial" w:eastAsia="Arial" w:cs="Arial"/>
          <w:color w:val="000000" w:themeColor="text1"/>
        </w:rPr>
        <w:t xml:space="preserve">es y RetailStoreSales son archivos SQLite montados como volumen en el contenedor del DWH. MongoDB Analytics se exportó desde MongoDB Atlas como archivos CSV que se cargan directamente en el esquema staging_mongo de PostgreSQL mediante el comando COPY FROM.</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La conexión a todas las fuentes relacionales se realiz</w:t>
      </w:r>
      <w:r>
        <w:rPr>
          <w:rFonts w:ascii="Arial" w:hAnsi="Arial" w:eastAsia="Arial" w:cs="Arial"/>
          <w:color w:val="000000" w:themeColor="text1"/>
        </w:rPr>
        <w:t xml:space="preserve">a mediante Foreign Data Wrappers directamente desde el contenedor del DWH PostgreSQL, sin copias intermedias de datos. Esto implementa la filosofía de ETL virtual: los datos permanecen en sus sistemas origen hasta el momento de la carga final en los marts.</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4.3 Análisis OLTP</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WorldWideImporters sigue un esquema relacional normalizado con las tablas principales Sales.InvoiceLines para las líneas de venta, Sales.Invoices para los encabezados de pedido, Sales.Customers p</w:t>
      </w:r>
      <w:r>
        <w:rPr>
          <w:rFonts w:ascii="Arial" w:hAnsi="Arial" w:eastAsia="Arial" w:cs="Arial"/>
          <w:color w:val="000000" w:themeColor="text1"/>
        </w:rPr>
        <w:t xml:space="preserve">ara los clientes, Sales.CustomerTransactions para los métodos de pago, Warehouse.StockItems para los productos, Warehouse.StockGroups para las categorías y Application.Cities, Application.StateProvinces y Application.Countries para la jerarquía geográfica.</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Olist en SQL Server contiene las tablas olist_order_items_dataset con el detalle de items por pedido, olist_orders_dataset con el estado y fechas de los pedidos, olist_customers_dataset con los datos de clientes, olist_order_payments_d</w:t>
      </w:r>
      <w:r>
        <w:rPr>
          <w:rFonts w:ascii="Arial" w:hAnsi="Arial" w:eastAsia="Arial" w:cs="Arial"/>
          <w:color w:val="000000" w:themeColor="text1"/>
        </w:rPr>
        <w:t xml:space="preserve">ataset con los métodos de pago e información de cuotas, olist_order_reviews_dataset con las calificaciones de los clientes, olist_products_dataset con los datos de productos y product_category_name_translation con la traducción al inglés de las categorías.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DifferentStoreSales tien</w:t>
      </w:r>
      <w:r>
        <w:rPr>
          <w:rFonts w:ascii="Arial" w:hAnsi="Arial" w:eastAsia="Arial" w:cs="Arial"/>
          <w:color w:val="000000" w:themeColor="text1"/>
        </w:rPr>
        <w:t xml:space="preserve">e una estructura tabular simple con columnas de fecha, cliente, producto, tienda, método de pago, precio y cantidad en una tabla plana sin normalización. RetailStoreSales sigue un esquema similar con información adicional de perfil demográfico del cliente.</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4.4 Modelo Conceptual Multidimensional</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modelo conce</w:t>
      </w:r>
      <w:r>
        <w:rPr>
          <w:rFonts w:ascii="Arial" w:hAnsi="Arial" w:eastAsia="Arial" w:cs="Arial"/>
          <w:color w:val="000000" w:themeColor="text1"/>
        </w:rPr>
        <w:t xml:space="preserve">ptual define una única tabla de hechos central denominada FactVentasDetalle con granularidad de una fila por línea de venta individual. Esta granularidad permite el análisis al nivel más detallado posible y habilita cualquier nivel de agregación posterior.</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La tabla de hechos</w:t>
      </w:r>
      <w:r>
        <w:rPr>
          <w:rFonts w:ascii="Arial" w:hAnsi="Arial" w:eastAsia="Arial" w:cs="Arial"/>
          <w:color w:val="000000" w:themeColor="text1"/>
        </w:rPr>
        <w:t xml:space="preserve"> FactVentasDetalle se relaciona con ocho dimensiones. DimTiempo contiene la jerarquía temporal completa con atributos de día, semana, mes, trimestre, año, nombre del día, nombre del mes, temporada y bandera de fin de semana. DimProducto identifica cada pro</w:t>
      </w:r>
      <w:r>
        <w:rPr>
          <w:rFonts w:ascii="Arial" w:hAnsi="Arial" w:eastAsia="Arial" w:cs="Arial"/>
          <w:color w:val="000000" w:themeColor="text1"/>
        </w:rPr>
        <w:t xml:space="preserve">ducto con su categoría, subcategoría y sistema de origen. DimCliente caracteriza a los compradores con datos demográficos y geográficos disponibles por origen. DimRegion consolida la dimensión geográfica para los orígenes que la proveen. DimMetodoPago norm</w:t>
      </w:r>
      <w:r>
        <w:rPr>
          <w:rFonts w:ascii="Arial" w:hAnsi="Arial" w:eastAsia="Arial" w:cs="Arial"/>
          <w:color w:val="000000" w:themeColor="text1"/>
        </w:rPr>
        <w:t xml:space="preserve">aliza los distintos métodos de pago entre orígenes. DimCanal clasifica el tipo de venta entre B2B, online y offline. DimTienda identifica los puntos de venta de DifferentStoreSales. DimOrigen mantiene la trazabilidad del sistema fuente de cada transacción.</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Las medidas de la tabla de hechos son: cantidad, precio unitario, monto total, costo unitario disponible solo para DifferentStoreSales, ganancia neta disponible para WorldWideImporters y DifferentStoreSales, descuento porcentual </w:t>
      </w:r>
      <w:r>
        <w:rPr>
          <w:rFonts w:ascii="Arial" w:hAnsi="Arial" w:eastAsia="Arial" w:cs="Arial"/>
          <w:color w:val="000000" w:themeColor="text1"/>
        </w:rPr>
        <w:t xml:space="preserve">disponible solo para RetailStoreSales, calificación del item disponible para RetailStoreSales y Olist, tiempo de entrega en días disponible solo para Olist, cuotas de pago disponible solo para Olist, y compras previas disponible solo para RetailStoreSales.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SupermarketStoreBranchesSales y MongoDB Analytics no se integ</w:t>
      </w:r>
      <w:r>
        <w:rPr>
          <w:rFonts w:ascii="Arial" w:hAnsi="Arial" w:eastAsia="Arial" w:cs="Arial"/>
          <w:color w:val="000000" w:themeColor="text1"/>
        </w:rPr>
        <w:t xml:space="preserve">ran al modelo dimensional. La primera por incompatibilidad de granularidad y la segunda por la complejidad de mapear el modelo de documentos NoSQL al esquema relacional. Ambas se consultan directamente en la capa de visualización como fuentes de contraste.</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4.5 Diseño del Modelo Dimensional</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modelo dimensional implementado es un Esquema Estrella con</w:t>
      </w:r>
      <w:r>
        <w:rPr>
          <w:rFonts w:ascii="Arial" w:hAnsi="Arial" w:eastAsia="Arial" w:cs="Arial"/>
          <w:color w:val="000000" w:themeColor="text1"/>
        </w:rPr>
        <w:t xml:space="preserve"> una tabla de hechos central y ocho tablas de dimensión. Se eligió este modelo por su mayor rendimiento en consultas analíticas, menor complejidad de joins y su condición de estándar para Data Warehouses orientados a reporting según la metodología Kimball.</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DimTiempo se genera mediante la func</w:t>
      </w:r>
      <w:r>
        <w:rPr>
          <w:rFonts w:ascii="Arial" w:hAnsi="Arial" w:eastAsia="Arial" w:cs="Arial"/>
          <w:color w:val="000000" w:themeColor="text1"/>
        </w:rPr>
        <w:t xml:space="preserve">ión generate_series de PostgreSQL para el rango 2013 a 2018, cubriendo el período histórico de todos los orígenes. Contiene 2191 registros correspondientes a cada día del período. Su clave sustituta es tiempo_key generada con ROW_NUMBER ordenada por fecha.</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DimProducto consoli</w:t>
      </w:r>
      <w:r>
        <w:rPr>
          <w:rFonts w:ascii="Arial" w:hAnsi="Arial" w:eastAsia="Arial" w:cs="Arial"/>
          <w:color w:val="000000" w:themeColor="text1"/>
        </w:rPr>
        <w:t xml:space="preserve">da los catálogos de productos de los cuatro orígenes mediante UNION ALL en la capa intermediate y deduplicación con DISTINCT ON en el mart. Incluye los atributos nombre_producto, categoria, subcategoria y origen_sistema. La clave sustituta es producto_key.</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DimCliente consolida los datos de clientes de los cua</w:t>
      </w:r>
      <w:r>
        <w:rPr>
          <w:rFonts w:ascii="Arial" w:hAnsi="Arial" w:eastAsia="Arial" w:cs="Arial"/>
          <w:color w:val="000000" w:themeColor="text1"/>
        </w:rPr>
        <w:t xml:space="preserve">tro orígenes. La disponibilidad de atributos varía por fuente: WorldWideImporters aporta nombre, ciudad, estado y país; Olist aporta ciudad y estado de Brasil; DifferentStoreSales y RetailStoreSales aportan edad y género. La clave sustituta es cliente_key.</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DimRegion extra</w:t>
      </w:r>
      <w:r>
        <w:rPr>
          <w:rFonts w:ascii="Arial" w:hAnsi="Arial" w:eastAsia="Arial" w:cs="Arial"/>
          <w:color w:val="000000" w:themeColor="text1"/>
        </w:rPr>
        <w:t xml:space="preserve">e las regiones geográficas únicas de los orígenes que las proveen. DimMetodoPago es una tabla estática con 16 filas que normaliza los métodos de pago de los cuatro orígenes hacia un vocabulario controlado. DimCanal es una tabla estática con cuatro filas qu</w:t>
      </w:r>
      <w:r>
        <w:rPr>
          <w:rFonts w:ascii="Arial" w:hAnsi="Arial" w:eastAsia="Arial" w:cs="Arial"/>
          <w:color w:val="000000" w:themeColor="text1"/>
        </w:rPr>
        <w:t xml:space="preserve">e clasifica cada origen en su tipo y subcategoría de canal. DimTienda contiene los puntos de venta de DifferentStoreSales más una fila genérica para los orígenes sin tienda. DimOrigen es una tabla estática con cuatro filas que describe cada sistema fuente.</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diccionario de datos documenta cada tabla con sus columnas, tipos de datos, claves primarias, claves foráneas, restricciones NOT NULL y la descripción funcional de cada atributo.</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br w:type="page" w:clear="all"/>
      </w:r>
      <w:r>
        <w:rPr>
          <w:rFonts w:ascii="Arial" w:hAnsi="Arial" w:eastAsia="Arial" w:cs="Arial"/>
          <w:color w:val="000000" w:themeColor="text1"/>
        </w:rPr>
      </w:r>
    </w:p>
    <w:p>
      <w:pPr>
        <w:pStyle w:val="693"/>
        <w:pBdr/>
        <w:spacing w:line="360" w:lineRule="auto"/>
        <w:ind/>
        <w:rPr>
          <w:rFonts w:ascii="Arial" w:hAnsi="Arial" w:cs="Arial"/>
          <w:color w:val="000000" w:themeColor="text1"/>
        </w:rPr>
      </w:pPr>
      <w:r>
        <w:rPr>
          <w:rFonts w:ascii="Arial" w:hAnsi="Arial" w:eastAsia="Arial" w:cs="Arial"/>
          <w:color w:val="000000" w:themeColor="text1"/>
        </w:rPr>
        <w:t xml:space="preserve">5. Implementación del Data Warehouse</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5.1 Creación de la Base de Datos Analítica</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Data Warehouse se implementa sobre PostgreSQL 15 en un contenedor Docker denominado dwh_postgres. La base de datos se denomina dwh_ventas_global y opera en el puerto 5434 del host, mapeado al puerto interno 5432. L</w:t>
      </w:r>
      <w:r>
        <w:rPr>
          <w:rFonts w:ascii="Arial" w:hAnsi="Arial" w:eastAsia="Arial" w:cs="Arial"/>
          <w:color w:val="000000" w:themeColor="text1"/>
        </w:rPr>
        <w:t xml:space="preserve">a imagen Docker utiliza un Dockerfile extendido que instala las extensiones de Foreign Data Wrappers necesarias: postgres_fdw para la conexión con WorldWideImporters, tds_fdw para la conexión con SQL Server Olist y sqlite_fdw para los tres orígenes SQLite.</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La configuración del entorno completo se gestiona mediante Docker Compose, que orquesta cinco contenedore</w:t>
      </w:r>
      <w:r>
        <w:rPr>
          <w:rFonts w:ascii="Arial" w:hAnsi="Arial" w:eastAsia="Arial" w:cs="Arial"/>
          <w:color w:val="000000" w:themeColor="text1"/>
        </w:rPr>
        <w:t xml:space="preserve">s: src_postgres para WorldWideImporters en el puerto 5433, src_sqlserver para Olist en el puerto 1434, src_mongodb para MongoDB en el puerto 27018, dwh_postgres para el Data Warehouse en el puerto 5434 y superset_bi para la visualización en el puerto 8088.</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esquema del DWH se denomina dwh y contiene las nueve tablas del modelo dimensional: ocho dimensiones y la tabla de</w:t>
      </w:r>
      <w:r>
        <w:rPr>
          <w:rFonts w:ascii="Arial" w:hAnsi="Arial" w:eastAsia="Arial" w:cs="Arial"/>
          <w:color w:val="000000" w:themeColor="text1"/>
        </w:rPr>
        <w:t xml:space="preserve"> hechos central. Los esquemas de staging actúan como capas virtuales sin datos físicos: staging_postgresql_world_wide_importers, staging_sqlserver_olist, staging_sqlite_diff_store_sales, staging_sqlite_super_store_sales y staging_sqlite_retail_store_sales.</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5.2 Implementación de Dimensiones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Todas las dimensiones se implementan como modelos dbt con materialización de tipo tabla en el esquema dwh. La ejecución se realiza mediante el comando dbt run con selección explícita de los modelos de dimensión.</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DimTiempo se genera completamente en dbt mediante generate_series sin dependencia de ninguna fu</w:t>
      </w:r>
      <w:r>
        <w:rPr>
          <w:rFonts w:ascii="Arial" w:hAnsi="Arial" w:eastAsia="Arial" w:cs="Arial"/>
          <w:color w:val="000000" w:themeColor="text1"/>
        </w:rPr>
        <w:t xml:space="preserve">ente externa. El rango cubre desde el primero de enero de 2013 hasta el treinta y uno de diciembre de 2018, produciendo 2191 filas. Los atributos de temporada se calculan con una expresión CASE que clasifica cada mes en Verano, Otoño, Invierno o Primavera.</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DimProducto y DimCliente se construyen mediante UNION ALL de los cuatro modelos </w:t>
      </w:r>
      <w:r>
        <w:rPr>
          <w:rFonts w:ascii="Arial" w:hAnsi="Arial" w:eastAsia="Arial" w:cs="Arial"/>
          <w:color w:val="000000" w:themeColor="text1"/>
        </w:rPr>
        <w:t xml:space="preserve">de staging en la capa intermediate, seguido de deduplicación con DISTINCT ON por la combinación de identificador origen y sistema origen. Esto garantiza que cada producto y cada cliente aparezca una sola vez por sistema fuente, preservando la trazabilidad.</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DimMetodoPago, DimCanal y DimOrigen son tablas estáticas definidas con cláusulas VALUES directamente en el modelo dbt, sin dependencia de fuentes externas. DimMetodoPago contiene 16 filas que ma</w:t>
      </w:r>
      <w:r>
        <w:rPr>
          <w:rFonts w:ascii="Arial" w:hAnsi="Arial" w:eastAsia="Arial" w:cs="Arial"/>
          <w:color w:val="000000" w:themeColor="text1"/>
        </w:rPr>
        <w:t xml:space="preserve">pean los métodos de pago originales de cada fuente hacia una nomenclatura normalizada en español. DimCanal clasifica los cuatro orígenes en sus respectivos tipos de canal. DimOrigen describe las características técnicas y de mercado de cada sistema fuente.</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5.3 Implementación de la Tabla de Hechos</w:t>
      </w:r>
      <w:r>
        <w:rPr>
          <w:rFonts w:ascii="Arial" w:hAnsi="Arial" w:eastAsia="Arial" w:cs="Arial"/>
          <w:color w:val="000000" w:themeColor="text1"/>
        </w:rPr>
      </w:r>
    </w:p>
    <w:p w14:paraId="1F233473">
      <w:pPr>
        <w:pBdr/>
        <w:spacing/>
        <w:ind/>
        <w:rPr>
          <w:rFonts w:ascii="Arial" w:hAnsi="Arial" w:cs="Arial"/>
        </w:rPr>
      </w:pPr>
      <w:r>
        <w:rPr>
          <w:rFonts w:ascii="Arial" w:hAnsi="Arial" w:eastAsia="Arial" w:cs="Arial"/>
          <w:color w:val="000000" w:themeColor="text1"/>
        </w:rPr>
      </w:r>
      <w:r>
        <w:rPr>
          <w:rFonts w:ascii="Arial" w:hAnsi="Arial" w:eastAsia="Arial" w:cs="Arial"/>
          <w:color w:val="000000" w:themeColor="text1"/>
        </w:rPr>
      </w:r>
      <w:r>
        <w:rPr>
          <w:rFonts w:ascii="Arial" w:hAnsi="Arial" w:eastAsia="Arial" w:cs="Arial"/>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La tabla de hechos fact_ventas_detalle se implementa como modelo dbt con materiali</w:t>
      </w:r>
      <w:r>
        <w:rPr>
          <w:rFonts w:ascii="Arial" w:hAnsi="Arial" w:eastAsia="Arial" w:cs="Arial"/>
          <w:color w:val="000000" w:themeColor="text1"/>
        </w:rPr>
        <w:t xml:space="preserve">zación de tipo tabla en el esquema dwh. El proceso de construcción parte de la vista int_ventas_unificadas que consolida mediante UNION ALL los cuatro modelos de staging de ventas: stg_wwi_ventas, stg_olist_ventas, stg_diffstore_ventas y stg_retail_ventas.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modelo de la tabla de hechos utiliza expresiones de tabla comunes para cargar las dimensiones en memoria y luego ejecuta los joins necesarios para sustituir los identificadores de negocio por las claves sustitutas del DWH. Los joins co</w:t>
      </w:r>
      <w:r>
        <w:rPr>
          <w:rFonts w:ascii="Arial" w:hAnsi="Arial" w:eastAsia="Arial" w:cs="Arial"/>
          <w:color w:val="000000" w:themeColor="text1"/>
        </w:rPr>
        <w:t xml:space="preserve">n DimTiempo, DimProducto, DimCliente, DimMetodoPago, DimCanal y DimOrigen son joins internos. El join con DimTienda es un left join para preservar las filas de orígenes sin tienda específica, resueltas mediante COALESCE hacia la fila genérica de DimTienda.</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La ejecución de este modelo requirió aproximadamente 40 minutos debido al volumen de datos y a la latencia inherente de los Foreign Data Wrappers, especialmente tds_fdw que recupera los datos de SQL Server fila por fila sin optimi</w:t>
      </w:r>
      <w:r>
        <w:rPr>
          <w:rFonts w:ascii="Arial" w:hAnsi="Arial" w:eastAsia="Arial" w:cs="Arial"/>
          <w:color w:val="000000" w:themeColor="text1"/>
        </w:rPr>
        <w:t xml:space="preserve">zación de pushdown. El resultado es una tabla con aproximadamente 445 000 filas que consolida los datos de WorldWideImporters con 228 000 registros, DifferentStoreSales con 99 457 registros, Olist con 78 733 registros y RetailStoreSales con 4009 registros.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br w:type="page" w:clear="all"/>
      </w:r>
      <w:r>
        <w:rPr>
          <w:rFonts w:ascii="Arial" w:hAnsi="Arial" w:eastAsia="Arial" w:cs="Arial"/>
          <w:color w:val="000000" w:themeColor="text1"/>
        </w:rPr>
      </w:r>
    </w:p>
    <w:p>
      <w:pPr>
        <w:pStyle w:val="693"/>
        <w:pBdr/>
        <w:spacing w:line="360" w:lineRule="auto"/>
        <w:ind/>
        <w:rPr>
          <w:rFonts w:ascii="Arial" w:hAnsi="Arial" w:cs="Arial"/>
          <w:color w:val="000000" w:themeColor="text1"/>
        </w:rPr>
      </w:pPr>
      <w:r>
        <w:rPr>
          <w:rFonts w:ascii="Arial" w:hAnsi="Arial" w:eastAsia="Arial" w:cs="Arial"/>
          <w:color w:val="000000" w:themeColor="text1"/>
        </w:rPr>
        <w:t xml:space="preserve">6. Desarrollo de Procesos ETL</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6.1 Arquitectura ETL</w:t>
      </w:r>
      <w:r>
        <w:rPr>
          <w:rFonts w:ascii="Arial" w:hAnsi="Arial" w:eastAsia="Arial" w:cs="Arial"/>
          <w:color w:val="000000" w:themeColor="text1"/>
        </w:rPr>
      </w:r>
    </w:p>
    <w:p>
      <w:pPr>
        <w:pBdr/>
        <w:spacing w:after="0" w:line="360" w:lineRule="auto"/>
        <w:ind/>
        <w:rPr>
          <w:rFonts w:ascii="Arial" w:hAnsi="Arial" w:cs="Arial"/>
          <w:color w:val="000000" w:themeColor="text1"/>
          <w:highlight w:val="none"/>
        </w:rPr>
      </w:pPr>
      <w:r>
        <w:rPr>
          <w:rFonts w:ascii="Arial" w:hAnsi="Arial" w:eastAsia="Arial" w:cs="Arial"/>
          <w:color w:val="000000" w:themeColor="text1"/>
        </w:rPr>
        <w:t xml:space="preserve">La arquitectura implementada se denomina ETL Virtual y representa una variante moderna del proceso Extract Transform Load donde la extracción y transformación se realizan de forma virtual sin copiar datos a capas in</w:t>
      </w:r>
      <w:r>
        <w:rPr>
          <w:rFonts w:ascii="Arial" w:hAnsi="Arial" w:eastAsia="Arial" w:cs="Arial"/>
          <w:color w:val="000000" w:themeColor="text1"/>
        </w:rPr>
        <w:t xml:space="preserve">termedias físicas. Esta arquitectura se apoya en tres tecnologías complementarias: Foreign Data Wrappers de PostgreSQL como capa de extracción virtual, dbt-core como motor de transformación declarativa en SQL y PostgreSQL como base de datos de carga final.</w:t>
      </w:r>
      <w:r>
        <w:rPr>
          <w:rFonts w:ascii="Arial" w:hAnsi="Arial" w:eastAsia="Arial" w:cs="Arial"/>
          <w:color w:val="000000" w:themeColor="text1"/>
        </w:rPr>
      </w:r>
    </w:p>
    <w:p w14:paraId="60C3646F">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flujo completo opera en cuatro capas lógicas. La primera capa son los sistemas origen que permanecen intactos y sin modificación. La segunda capa e</w:t>
      </w:r>
      <w:r>
        <w:rPr>
          <w:rFonts w:ascii="Arial" w:hAnsi="Arial" w:eastAsia="Arial" w:cs="Arial"/>
          <w:color w:val="000000" w:themeColor="text1"/>
        </w:rPr>
        <w:t xml:space="preserve">s el staging virtual compuesto por esquemas FDW que exponen las tablas de los sistemas origen como si fueran tablas locales de PostgreSQL, sin copiar ningún dato. La tercera capa son los modelos dbt de staging e intermediate, materializados como vistas, qu</w:t>
      </w:r>
      <w:r>
        <w:rPr>
          <w:rFonts w:ascii="Arial" w:hAnsi="Arial" w:eastAsia="Arial" w:cs="Arial"/>
          <w:color w:val="000000" w:themeColor="text1"/>
        </w:rPr>
        <w:t xml:space="preserve">e definen las transformaciones de tipado, renombramiento y homologación sin ejecutar ninguna copia física. La cuarta capa son los marts materializados como tablas físicas en el esquema dwh, que representan la única carga física de datos en todo el proceso.</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6.2 Extracción</w:t>
      </w:r>
      <w:r>
        <w:rPr>
          <w:rFonts w:ascii="Arial" w:hAnsi="Arial" w:eastAsia="Arial" w:cs="Arial"/>
          <w:color w:val="000000" w:themeColor="text1"/>
        </w:rPr>
      </w:r>
    </w:p>
    <w:p w14:paraId="0D132EE5">
      <w:pPr>
        <w:pBdr/>
        <w:spacing/>
        <w:ind/>
        <w:rPr>
          <w:rFonts w:ascii="Arial" w:hAnsi="Arial" w:cs="Arial"/>
        </w:rPr>
      </w:pPr>
      <w:r>
        <w:rPr>
          <w:rFonts w:ascii="Arial" w:hAnsi="Arial" w:eastAsia="Arial" w:cs="Arial"/>
          <w:color w:val="000000" w:themeColor="text1"/>
        </w:rPr>
      </w:r>
      <w:r>
        <w:rPr>
          <w:rFonts w:ascii="Arial" w:hAnsi="Arial" w:eastAsia="Arial" w:cs="Arial"/>
          <w:color w:val="000000" w:themeColor="text1"/>
        </w:rPr>
      </w:r>
      <w:r>
        <w:rPr>
          <w:rFonts w:ascii="Arial" w:hAnsi="Arial" w:eastAsia="Arial" w:cs="Arial"/>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La extracción se configura mediante tres extensiones de</w:t>
      </w:r>
      <w:r>
        <w:rPr>
          <w:rFonts w:ascii="Arial" w:hAnsi="Arial" w:eastAsia="Arial" w:cs="Arial"/>
          <w:color w:val="000000" w:themeColor="text1"/>
        </w:rPr>
        <w:t xml:space="preserve"> Foreign Data Wrappers instaladas en el contenedor del DWH. postgres_fdw conecta con WorldWideImporters a través del servidor postgresql_origen apuntando al contenedor src_postgres en el puerto 5432 interno. tds_fdw conecta con SQL Server Olist a través de</w:t>
      </w:r>
      <w:r>
        <w:rPr>
          <w:rFonts w:ascii="Arial" w:hAnsi="Arial" w:eastAsia="Arial" w:cs="Arial"/>
          <w:color w:val="000000" w:themeColor="text1"/>
        </w:rPr>
        <w:t xml:space="preserve">l servidor sqlserver_origen apuntando al contenedor src_sqlserver en el puerto 1433 interno. sqlite_fdw conecta con los tres archivos SQLite mediante servidores individuales que apuntan a las rutas de los archivos montados en el volumen del contenedor DWH.</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Para WorldWideImporters y Olist se definen vistas en los sistemas origen antes de exponerlas via FDW. Estas vistas realizan los joins necesarios entre tablas y pre-filtran los datos, reduciendo el volumen transferido p</w:t>
      </w:r>
      <w:r>
        <w:rPr>
          <w:rFonts w:ascii="Arial" w:hAnsi="Arial" w:eastAsia="Arial" w:cs="Arial"/>
          <w:color w:val="000000" w:themeColor="text1"/>
        </w:rPr>
        <w:t xml:space="preserve">or el FDW y simplificando la lógica en los modelos dbt. En WorldWideImporters la vista vw_dwh_ventas une las tablas de líneas de venta, encabezados de pedido y transacciones de cliente, y resuelve el problema de las fechas almacenadas como texto usando TO_</w:t>
      </w:r>
      <w:r>
        <w:rPr>
          <w:rFonts w:ascii="Arial" w:hAnsi="Arial" w:eastAsia="Arial" w:cs="Arial"/>
          <w:color w:val="000000" w:themeColor="text1"/>
        </w:rPr>
        <w:t xml:space="preserve">DATE con el formato DD/MM/YYYY. En Olist la vista vw_dwh_olist_ventas une las siete tablas necesarias usando CAST explícito a VARCHAR con longitud específica para compatibilidad con tds_fdw, que no soporta el tipo text de SQL Server en operaciones de join.</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6.3 Transformación</w:t>
      </w:r>
      <w:r>
        <w:rPr>
          <w:rFonts w:ascii="Arial" w:hAnsi="Arial" w:eastAsia="Arial" w:cs="Arial"/>
          <w:color w:val="000000" w:themeColor="text1"/>
        </w:rPr>
      </w:r>
    </w:p>
    <w:p w14:paraId="1F5962E5">
      <w:pPr>
        <w:pBdr/>
        <w:spacing/>
        <w:ind/>
        <w:rPr>
          <w:rFonts w:ascii="Arial" w:hAnsi="Arial" w:cs="Arial"/>
        </w:rPr>
      </w:pPr>
      <w:r>
        <w:rPr>
          <w:rFonts w:ascii="Arial" w:hAnsi="Arial" w:eastAsia="Arial" w:cs="Arial"/>
          <w:color w:val="000000" w:themeColor="text1"/>
        </w:rPr>
      </w:r>
      <w:r>
        <w:rPr>
          <w:rFonts w:ascii="Arial" w:hAnsi="Arial" w:eastAsia="Arial" w:cs="Arial"/>
          <w:color w:val="000000" w:themeColor="text1"/>
        </w:rPr>
      </w:r>
      <w:r>
        <w:rPr>
          <w:rFonts w:ascii="Arial" w:hAnsi="Arial" w:eastAsia="Arial" w:cs="Arial"/>
        </w:rPr>
      </w:r>
    </w:p>
    <w:p>
      <w:pPr>
        <w:pBdr/>
        <w:spacing w:after="0" w:line="360" w:lineRule="auto"/>
        <w:ind/>
        <w:rPr>
          <w:rFonts w:ascii="Arial" w:hAnsi="Arial" w:cs="Arial"/>
          <w:color w:val="000000" w:themeColor="text1"/>
          <w:highlight w:val="none"/>
        </w:rPr>
      </w:pPr>
      <w:r>
        <w:rPr>
          <w:rFonts w:ascii="Arial" w:hAnsi="Arial" w:eastAsia="Arial" w:cs="Arial"/>
          <w:color w:val="000000" w:themeColor="text1"/>
        </w:rPr>
        <w:t xml:space="preserve">Las reglas de transformación se implementan en los modelos dbt de staging e intermediate. En la capa de staging cada modelo aplica un cast explícito de tipos para garanti</w:t>
      </w:r>
      <w:r>
        <w:rPr>
          <w:rFonts w:ascii="Arial" w:hAnsi="Arial" w:eastAsia="Arial" w:cs="Arial"/>
          <w:color w:val="000000" w:themeColor="text1"/>
        </w:rPr>
        <w:t xml:space="preserve">zar que todos los campos lleguen al siguiente nivel con los tipos correctos independientemente de lo que devuelva el FDW. Se renombran las columnas al esquema unificado del DWH y se agrega la columna literal origen_sistema con el código del sistema fuente.</w:t>
      </w:r>
      <w:r>
        <w:rPr>
          <w:rFonts w:ascii="Arial" w:hAnsi="Arial" w:eastAsia="Arial" w:cs="Arial"/>
          <w:color w:val="000000" w:themeColor="text1"/>
        </w:rPr>
      </w:r>
    </w:p>
    <w:p w14:paraId="27FC766B">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cs="Arial"/>
          <w:color w:val="000000" w:themeColor="text1"/>
          <w:highlight w:val="none"/>
        </w:rPr>
      </w:pPr>
      <w:r>
        <w:rPr>
          <w:rFonts w:ascii="Arial" w:hAnsi="Arial" w:eastAsia="Arial" w:cs="Arial"/>
          <w:color w:val="000000" w:themeColor="text1"/>
        </w:rPr>
        <w:t xml:space="preserve">La eliminación de duplicados se resuelve en las dimensiones mediante DISTINCT ON sobre la combinación de identificador y sistema origen, priorizando el registro con nombre no nulo cuando existen duplicados.</w:t>
      </w:r>
      <w:r>
        <w:rPr>
          <w:rFonts w:ascii="Arial" w:hAnsi="Arial" w:eastAsia="Arial" w:cs="Arial"/>
          <w:color w:val="000000" w:themeColor="text1"/>
        </w:rPr>
      </w:r>
    </w:p>
    <w:p w14:paraId="76829E9C">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cs="Arial"/>
          <w:color w:val="000000" w:themeColor="text1"/>
          <w:highlight w:val="none"/>
        </w:rPr>
      </w:pPr>
      <w:r>
        <w:rPr>
          <w:rFonts w:ascii="Arial" w:hAnsi="Arial" w:eastAsia="Arial" w:cs="Arial"/>
          <w:color w:val="000000" w:themeColor="text1"/>
        </w:rPr>
        <w:t xml:space="preserve">La conversión de tipos de datos presenta los mayores desafíos por la heterogeneidad de los orígenes. En WorldWideImporters las fechas requieren TO_DATE con formato explícito porque están almacenadas como texto. En Olist el driver tds_fdw devuelve los tipo</w:t>
      </w:r>
      <w:r>
        <w:rPr>
          <w:rFonts w:ascii="Arial" w:hAnsi="Arial" w:eastAsia="Arial" w:cs="Arial"/>
          <w:color w:val="000000" w:themeColor="text1"/>
        </w:rPr>
        <w:t xml:space="preserve">s DATE de SQL Server como cadenas de texto en formato anglosajón, por lo que se aplica SPLIT_PART para extraer los componentes y TO_DATE para convertirlos. En los SQLite los tipos numéricos se castean explícitamente porque SQLite no impone tipado estricto.</w:t>
      </w:r>
      <w:r>
        <w:rPr>
          <w:rFonts w:ascii="Arial" w:hAnsi="Arial" w:eastAsia="Arial" w:cs="Arial"/>
          <w:color w:val="000000" w:themeColor="text1"/>
        </w:rPr>
      </w:r>
    </w:p>
    <w:p w14:paraId="2A322BF6">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cs="Arial"/>
          <w:color w:val="000000" w:themeColor="text1"/>
          <w:highlight w:val="none"/>
        </w:rPr>
      </w:pPr>
      <w:r>
        <w:rPr>
          <w:rFonts w:ascii="Arial" w:hAnsi="Arial" w:eastAsia="Arial" w:cs="Arial"/>
          <w:color w:val="000000" w:themeColor="text1"/>
        </w:rPr>
        <w:t xml:space="preserve">La homologación de valores se aplica en DimMetodoPago, donde los métodos de pago de los cuatro orígenes se mapean a una nomenclatura normalizada en español. Tambi</w:t>
      </w:r>
      <w:r>
        <w:rPr>
          <w:rFonts w:ascii="Arial" w:hAnsi="Arial" w:eastAsia="Arial" w:cs="Arial"/>
          <w:color w:val="000000" w:themeColor="text1"/>
        </w:rPr>
        <w:t xml:space="preserve">én se aplica en DimCanal donde cada origen se asigna a su tipo de canal correspondiente. En las dimensiones de cliente se normaliza el género con una expresión CASE que unifica Male, Female y los valores nulos o desconocidos bajo la categoría No informado.</w:t>
      </w:r>
      <w:r>
        <w:rPr>
          <w:rFonts w:ascii="Arial" w:hAnsi="Arial" w:eastAsia="Arial" w:cs="Arial"/>
          <w:color w:val="000000" w:themeColor="text1"/>
        </w:rPr>
      </w:r>
    </w:p>
    <w:p w14:paraId="1C272D81">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tratamiento de nulos sigue el principio de no rechazar filas por atributos faltantes. Las medidas no disponibles en ciertos orígenes se representan como NULL en la tabla de hechos. Los métodos de pago</w:t>
      </w:r>
      <w:r>
        <w:rPr>
          <w:rFonts w:ascii="Arial" w:hAnsi="Arial" w:eastAsia="Arial" w:cs="Arial"/>
          <w:color w:val="000000" w:themeColor="text1"/>
        </w:rPr>
        <w:t xml:space="preserve"> sin identificación en WorldWideImporters se asignan al código NULL que existe en DimMetodoPago bajo la descripción No informado. RetailStoreSales no tiene fecha de transacción explícita, por lo que se asigna la fecha de carga como placeholder documentado.</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6.4 Carga</w:t>
      </w:r>
      <w:r>
        <w:rPr>
          <w:rFonts w:ascii="Arial" w:hAnsi="Arial" w:eastAsia="Arial" w:cs="Arial"/>
          <w:color w:val="000000" w:themeColor="text1"/>
        </w:rPr>
      </w:r>
    </w:p>
    <w:p w14:paraId="0807BB7C">
      <w:pPr>
        <w:pBdr/>
        <w:spacing/>
        <w:ind/>
        <w:rPr>
          <w:rFonts w:ascii="Arial" w:hAnsi="Arial" w:cs="Arial"/>
        </w:rPr>
      </w:pPr>
      <w:r>
        <w:rPr>
          <w:rFonts w:ascii="Arial" w:hAnsi="Arial" w:eastAsia="Arial" w:cs="Arial"/>
          <w:color w:val="000000" w:themeColor="text1"/>
        </w:rPr>
      </w:r>
      <w:r>
        <w:rPr>
          <w:rFonts w:ascii="Arial" w:hAnsi="Arial" w:eastAsia="Arial" w:cs="Arial"/>
          <w:color w:val="000000" w:themeColor="text1"/>
        </w:rPr>
      </w:r>
      <w:r>
        <w:rPr>
          <w:rFonts w:ascii="Arial" w:hAnsi="Arial" w:eastAsia="Arial" w:cs="Arial"/>
        </w:rPr>
      </w:r>
    </w:p>
    <w:p>
      <w:pPr>
        <w:pBdr/>
        <w:spacing w:after="0" w:line="360" w:lineRule="auto"/>
        <w:ind/>
        <w:rPr>
          <w:rFonts w:ascii="Arial" w:hAnsi="Arial" w:cs="Arial"/>
          <w:color w:val="000000" w:themeColor="text1"/>
          <w:highlight w:val="none"/>
        </w:rPr>
      </w:pPr>
      <w:r>
        <w:rPr>
          <w:rFonts w:ascii="Arial" w:hAnsi="Arial" w:eastAsia="Arial" w:cs="Arial"/>
          <w:color w:val="000000" w:themeColor="text1"/>
        </w:rPr>
        <w:t xml:space="preserve">La carg</w:t>
      </w:r>
      <w:r>
        <w:rPr>
          <w:rFonts w:ascii="Arial" w:hAnsi="Arial" w:eastAsia="Arial" w:cs="Arial"/>
          <w:color w:val="000000" w:themeColor="text1"/>
        </w:rPr>
        <w:t xml:space="preserve">a física se realiza en una única pasada mediante el comando dbt run dirigido a los modelos de la carpeta marts. dbt construye primero las dimensiones en el orden correcto de dependencias y finalmente la tabla de hechos. El proceso crea una tabla temporal d</w:t>
      </w:r>
      <w:r>
        <w:rPr>
          <w:rFonts w:ascii="Arial" w:hAnsi="Arial" w:eastAsia="Arial" w:cs="Arial"/>
          <w:color w:val="000000" w:themeColor="text1"/>
        </w:rPr>
        <w:t xml:space="preserve">enominada fact_ventas_detalle__dbt_tmp, inserta todos los registros y al finalizar realiza un swap atómico mediante ALTER TABLE RENAME, garantizando que la tabla de producción permanezca disponible con los datos anteriores durante todo el proceso de carga.</w:t>
      </w:r>
      <w:r>
        <w:rPr>
          <w:rFonts w:ascii="Arial" w:hAnsi="Arial" w:eastAsia="Arial" w:cs="Arial"/>
          <w:color w:val="000000" w:themeColor="text1"/>
        </w:rPr>
      </w:r>
    </w:p>
    <w:p w14:paraId="777348C6">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cs="Arial"/>
          <w:color w:val="000000" w:themeColor="text1"/>
          <w:highlight w:val="none"/>
        </w:rPr>
      </w:pPr>
      <w:r>
        <w:rPr>
          <w:rFonts w:ascii="Arial" w:hAnsi="Arial" w:eastAsia="Arial" w:cs="Arial"/>
          <w:color w:val="000000" w:themeColor="text1"/>
        </w:rPr>
        <w:t xml:space="preserve">Durant</w:t>
      </w:r>
      <w:r>
        <w:rPr>
          <w:rFonts w:ascii="Arial" w:hAnsi="Arial" w:eastAsia="Arial" w:cs="Arial"/>
          <w:color w:val="000000" w:themeColor="text1"/>
        </w:rPr>
        <w:t xml:space="preserve">e la carga se ejecutan los joins entre int_ventas_unificadas y las ocho dimensiones. Las filas que no encuentran coincidencia en alguna dimensión requerida quedan excluidas del resultado. Este comportamiento es intencional en las dimensiones de producto, c</w:t>
      </w:r>
      <w:r>
        <w:rPr>
          <w:rFonts w:ascii="Arial" w:hAnsi="Arial" w:eastAsia="Arial" w:cs="Arial"/>
          <w:color w:val="000000" w:themeColor="text1"/>
        </w:rPr>
        <w:t xml:space="preserve">liente, método de pago y origen, donde la ausencia de coincidencia indica datos de calidad insuficiente. La dimensión de tienda usa LEFT JOIN para preservar todas las transacciones asignándoles la tienda genérica cuando no tienen punto de venta específico.</w:t>
      </w:r>
      <w:r>
        <w:rPr>
          <w:rFonts w:ascii="Arial" w:hAnsi="Arial" w:eastAsia="Arial" w:cs="Arial"/>
          <w:color w:val="000000" w:themeColor="text1"/>
        </w:rPr>
      </w:r>
    </w:p>
    <w:p w14:paraId="4D7C9864">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6.5 Validación del ETL</w:t>
      </w:r>
      <w:r>
        <w:rPr>
          <w:rFonts w:ascii="Arial" w:hAnsi="Arial" w:eastAsia="Arial" w:cs="Arial"/>
          <w:color w:val="000000" w:themeColor="text1"/>
        </w:rPr>
      </w:r>
    </w:p>
    <w:p>
      <w:pPr>
        <w:pBdr/>
        <w:spacing w:after="0" w:line="360" w:lineRule="auto"/>
        <w:ind/>
        <w:rPr>
          <w:rFonts w:ascii="Arial" w:hAnsi="Arial" w:cs="Arial"/>
          <w:color w:val="000000" w:themeColor="text1"/>
          <w:highlight w:val="none"/>
        </w:rPr>
      </w:pPr>
      <w:r>
        <w:rPr>
          <w:rFonts w:ascii="Arial" w:hAnsi="Arial" w:eastAsia="Arial" w:cs="Arial"/>
          <w:color w:val="000000" w:themeColor="text1"/>
        </w:rPr>
        <w:t xml:space="preserve">La validación se realiza en múltiples niveles. A nivel de extracción se verifica que cada esquema FDW devuelve el número esperado de registros mediante c</w:t>
      </w:r>
      <w:r>
        <w:rPr>
          <w:rFonts w:ascii="Arial" w:hAnsi="Arial" w:eastAsia="Arial" w:cs="Arial"/>
          <w:color w:val="000000" w:themeColor="text1"/>
        </w:rPr>
        <w:t xml:space="preserve">onsultas directas de conteo sobre las vistas de staging. A nivel de transformación se ejecutan consultas de diagnóstico que comparan los distintos identificadores entre el modelo staging y las dimensiones correspondientes para detectar registros sin match.</w:t>
      </w:r>
      <w:r>
        <w:rPr>
          <w:rFonts w:ascii="Arial" w:hAnsi="Arial" w:eastAsia="Arial" w:cs="Arial"/>
          <w:color w:val="000000" w:themeColor="text1"/>
        </w:rPr>
      </w:r>
    </w:p>
    <w:p w14:paraId="0AE33361">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cs="Arial"/>
          <w:color w:val="000000" w:themeColor="text1"/>
          <w:highlight w:val="none"/>
        </w:rPr>
      </w:pPr>
      <w:r>
        <w:rPr>
          <w:rFonts w:ascii="Arial" w:hAnsi="Arial" w:eastAsia="Arial" w:cs="Arial"/>
          <w:color w:val="000000" w:themeColor="text1"/>
        </w:rPr>
        <w:t xml:space="preserve">A nivel de carga se valida el conteo total de la tabla de hechos y su distribución por origen si</w:t>
      </w:r>
      <w:r>
        <w:rPr>
          <w:rFonts w:ascii="Arial" w:hAnsi="Arial" w:eastAsia="Arial" w:cs="Arial"/>
          <w:color w:val="000000" w:themeColor="text1"/>
        </w:rPr>
        <w:t xml:space="preserve">stema. El resultado esperado y obtenido es WorldWideImporters con 228 000 registros, DifferentStoreSales con 99 457 registros, Olist con 78 733 registros y RetailStoreSales con 4009 registros, totalizando aproximadamente 410 000 filas en la carga validada.</w:t>
      </w:r>
      <w:r>
        <w:rPr>
          <w:rFonts w:ascii="Arial" w:hAnsi="Arial" w:eastAsia="Arial" w:cs="Arial"/>
          <w:color w:val="000000" w:themeColor="text1"/>
        </w:rPr>
      </w:r>
    </w:p>
    <w:p w14:paraId="4418B607">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Los errores detectados y resueltos durante el proceso incluyen el problema de tipado de fechas en WorldWideImporters resuelto con TO_DATE en la vista origen, la incompatibilidad del tipo text de SQL Server con los operadores de igualdad de</w:t>
      </w:r>
      <w:r>
        <w:rPr>
          <w:rFonts w:ascii="Arial" w:hAnsi="Arial" w:eastAsia="Arial" w:cs="Arial"/>
          <w:color w:val="000000" w:themeColor="text1"/>
        </w:rPr>
        <w:t xml:space="preserve"> tds_fdw resuelta con CAST explícito a VARCHAR con longitud específica, y el problema de la tabla DimMetodoPago que inicialmente estaba en su versión DDL sin la fila de código NULL para WorldWideImporters, resuelta ejecutando el modelo dbt correspondiente.</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br w:type="page" w:clear="all"/>
      </w:r>
      <w:r>
        <w:rPr>
          <w:rFonts w:ascii="Arial" w:hAnsi="Arial" w:eastAsia="Arial" w:cs="Arial"/>
          <w:color w:val="000000" w:themeColor="text1"/>
        </w:rPr>
      </w:r>
    </w:p>
    <w:p>
      <w:pPr>
        <w:pStyle w:val="693"/>
        <w:pBdr/>
        <w:spacing w:line="360" w:lineRule="auto"/>
        <w:ind/>
        <w:rPr>
          <w:rFonts w:ascii="Arial" w:hAnsi="Arial" w:cs="Arial"/>
          <w:color w:val="000000" w:themeColor="text1"/>
        </w:rPr>
      </w:pPr>
      <w:r>
        <w:rPr>
          <w:rFonts w:ascii="Arial" w:hAnsi="Arial" w:eastAsia="Arial" w:cs="Arial"/>
          <w:color w:val="000000" w:themeColor="text1"/>
        </w:rPr>
        <w:t xml:space="preserve">7. Visualización y Análisis de Datos</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7.1 Herramienta Utilizada</w:t>
      </w:r>
      <w:r>
        <w:rPr>
          <w:rFonts w:ascii="Arial" w:hAnsi="Arial" w:eastAsia="Arial" w:cs="Arial"/>
          <w:color w:val="000000" w:themeColor="text1"/>
        </w:rPr>
      </w:r>
    </w:p>
    <w:p>
      <w:pPr>
        <w:pBdr/>
        <w:spacing w:after="0" w:line="360" w:lineRule="auto"/>
        <w:ind/>
        <w:rPr>
          <w:rFonts w:ascii="Arial" w:hAnsi="Arial" w:cs="Arial"/>
          <w:color w:val="000000" w:themeColor="text1"/>
          <w:highlight w:val="none"/>
        </w:rPr>
      </w:pPr>
      <w:r>
        <w:rPr>
          <w:rFonts w:ascii="Arial" w:hAnsi="Arial" w:eastAsia="Arial" w:cs="Arial"/>
          <w:color w:val="000000" w:themeColor="text1"/>
        </w:rPr>
        <w:t xml:space="preserve">La visualización se implementa en Apache Superset, herramienta de Business Intelligence de código abierto. Apache Superse</w:t>
      </w:r>
      <w:r>
        <w:rPr>
          <w:rFonts w:ascii="Arial" w:hAnsi="Arial" w:eastAsia="Arial" w:cs="Arial"/>
          <w:color w:val="000000" w:themeColor="text1"/>
        </w:rPr>
        <w:t xml:space="preserve">t es la herramienta de BI open-source más adoptada en entornos corporativos de alto volumen y se conecta directamente a PostgreSQL sin capas intermedias. Esta conexión directa elimina el cuello de botella de importación de datos que herramientas como Power</w:t>
      </w:r>
      <w:r>
        <w:rPr>
          <w:rFonts w:ascii="Arial" w:hAnsi="Arial" w:eastAsia="Arial" w:cs="Arial"/>
          <w:color w:val="000000" w:themeColor="text1"/>
        </w:rPr>
        <w:t xml:space="preserve"> BI presentan en su versión gratuita cuando el volumen supera ciertos umbrales. Para un DWH con aproximadamente 445 000 registros, la conexión directa a la base de datos analítica garantiza que los dashboards reflejen siempre el estado actual de los datos.</w:t>
      </w:r>
      <w:r>
        <w:rPr>
          <w:rFonts w:ascii="Arial" w:hAnsi="Arial" w:eastAsia="Arial" w:cs="Arial"/>
          <w:color w:val="000000" w:themeColor="text1"/>
        </w:rPr>
      </w:r>
    </w:p>
    <w:p w14:paraId="426110C3">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La instancia de Superset se despliega en el mismo Docker Compose del proyecto como contenedor superset_bi en el puerto 8088, conectado a la base de datos dwh_ventas_global en el contenedor dwh_postgres.</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7.2 Diseño del Dashboard</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Se diseñan cinco dashboards organizados por datamart y por el análisis consolidado. El dataset principal de todos los dashboards</w:t>
      </w:r>
      <w:r>
        <w:rPr>
          <w:rFonts w:ascii="Arial" w:hAnsi="Arial" w:eastAsia="Arial" w:cs="Arial"/>
          <w:color w:val="000000" w:themeColor="text1"/>
        </w:rPr>
        <w:t xml:space="preserve"> es un virtual dataset denominado fact_ventas_completo creado mediante SQL Lab en Superset, que une la tabla de hechos con las ocho dimensiones mediante LEFT JOIN y expone todos los atributos descriptivos sin necesidad de joins adicionales en cada gráfico.</w:t>
      </w:r>
      <w:r>
        <w:rPr>
          <w:rFonts w:ascii="Arial" w:hAnsi="Arial" w:eastAsia="Arial" w:cs="Arial"/>
          <w:color w:val="000000" w:themeColor="text1"/>
        </w:rPr>
      </w:r>
    </w:p>
    <w:p>
      <w:pPr>
        <w:pBdr/>
        <w:spacing w:after="0" w:line="360" w:lineRule="auto"/>
        <w:ind/>
        <w:rPr>
          <w:rFonts w:ascii="Arial" w:hAnsi="Arial" w:cs="Arial"/>
          <w:color w:val="000000" w:themeColor="text1"/>
          <w:highlight w:val="none"/>
        </w:rPr>
      </w:pPr>
      <w:r>
        <w:rPr>
          <w:rFonts w:ascii="Arial" w:hAnsi="Arial" w:eastAsia="Arial" w:cs="Arial"/>
          <w:color w:val="000000" w:themeColor="text1"/>
        </w:rPr>
        <w:t xml:space="preserve">El Dashb</w:t>
      </w:r>
      <w:r>
        <w:rPr>
          <w:rFonts w:ascii="Arial" w:hAnsi="Arial" w:eastAsia="Arial" w:cs="Arial"/>
          <w:color w:val="000000" w:themeColor="text1"/>
        </w:rPr>
        <w:t xml:space="preserve">oard DWH Consolidado tiene como objetivo comparar el desempeño entre los cuatro orígenes integrados y responder las preguntas de inteligencia de mercado. Los usuarios objetivo son directivos y analistas estratégicos que necesitan visión global del negocio.</w:t>
      </w:r>
      <w:r>
        <w:rPr>
          <w:rFonts w:ascii="Arial" w:hAnsi="Arial" w:eastAsia="Arial" w:cs="Arial"/>
          <w:color w:val="000000" w:themeColor="text1"/>
        </w:rPr>
      </w:r>
    </w:p>
    <w:p w14:paraId="67A87652">
      <w:pPr>
        <w:pBdr/>
        <w:spacing w:after="0" w:line="360" w:lineRule="auto"/>
        <w:ind/>
        <w:rPr>
          <w:rFonts w:ascii="Arial" w:hAnsi="Arial" w:cs="Arial"/>
          <w:color w:val="000000" w:themeColor="text1"/>
        </w:rPr>
      </w:pPr>
      <w:r>
        <w:rPr>
          <w:rFonts w:ascii="Arial" w:hAnsi="Arial" w:eastAsia="Arial" w:cs="Arial"/>
          <w:color w:val="000000" w:themeColor="text1"/>
          <w:highlight w:val="none"/>
        </w:rPr>
      </w:r>
      <w:r>
        <w:rPr>
          <w:rFonts w:ascii="Arial" w:hAnsi="Arial" w:eastAsia="Arial" w:cs="Arial"/>
          <w:color w:val="000000" w:themeColor="text1"/>
          <w:highlight w:val="none"/>
        </w:rPr>
      </w:r>
      <w:r>
        <w:rPr>
          <w:rFonts w:ascii="Arial" w:hAnsi="Arial" w:eastAsia="Arial" w:cs="Arial"/>
          <w:color w:val="000000" w:themeColor="text1"/>
          <w:highlight w:val="none"/>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Dashboard WorldWideImporters tiene como objetivo analizar el comportamiento de ventas de manufactura multinacional, identificar productos estrella por región y detectar patrones estacionales. El usuario objetivo es el área comercial o de distribución.</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Dashboard Olist E-Commerce tiene como objetivo analizar el canal de ventas online latinoamericano, los métodos de pago predominantes y el impacto del tiempo de entrega. El usuario objetivo es el equipo de e-commerce y logística.</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Dashboard Retail Pequeño tiene como objetivo analizar el comportamiento de tiendas físicas pequeñas, los patrones estacionales y el perfil demográfico de los compradores. El usuario objetivo es el área de ventas retail.</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Dashboard MongoDB Analytics tiene como objetivo comparar las tendencias de comportamiento de consumidor del origen NoSQL con los datos transaccionales del DWH. El usuario objetivo es el equipo de analítica de clientes.</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7.3 Indicadores Implementados (KPIs)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total de ventas expresado como la suma del monto total es el indicador principal que permite comparar el volumen de negocio entre orígenes, canales y períodos.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ticket promedio expresado como el promedio del monto total por transacción permite evaluar el valor unitario de cada venta y compararlo entre canales y métodos de pago.</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volumen de transacciones expresado como el conteo de filas en la tabla de hechos mide la frecuencia de ventas y permite análisis de participación por origen.</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tiempo promedio de entrega expresado como el promedio de tiempo_entrega_dias es específico del origen Olist y permite evaluar la eficiencia logística del canal e-commerce.</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La participación por canal expresada como el porcentaje del monto total de cada tipo de canal sobre el total consolidado permite la comparación entre canales online, offline y B2B.</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crecimiento mensual expresado como la variación porcentual del monto total entre meses consecutivos permite identificar tendencias y estacionalidad.</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7.4 Visualizaciones Elaboradas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Gráfico de ventas totales por origen. Objetivo: comparar el volumen de negocio de los cuatro sistemas integrados. Se implementa como gráfico de torta con la dimensión codigo_origen y la métrica SUM de monto_total. El hall</w:t>
      </w:r>
      <w:r>
        <w:rPr>
          <w:rFonts w:ascii="Arial" w:hAnsi="Arial" w:eastAsia="Arial" w:cs="Arial"/>
          <w:color w:val="000000" w:themeColor="text1"/>
        </w:rPr>
        <w:t xml:space="preserve">azgo principal es que WorldWideImporters concentra la mayor proporción del volumen total, seguido por DifferentStoreSales, Olist y RetailStoreSales, lo que refleja la diferencia de escala entre el canal B2B multinacional y los canales de consumidor masivo.</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Gráfico de ticket promedio por canal. Objetivo: comparar el valor unitario de las transacciones entre los tipos de canal. Se implementa como gráfico de barras con la dimensión subcategoria_ca</w:t>
      </w:r>
      <w:r>
        <w:rPr>
          <w:rFonts w:ascii="Arial" w:hAnsi="Arial" w:eastAsia="Arial" w:cs="Arial"/>
          <w:color w:val="000000" w:themeColor="text1"/>
        </w:rPr>
        <w:t xml:space="preserve">nal y las métricas AVG de monto_total y COUNT de registros. El hallazgo es que el canal B2B de manufactura y distribución presenta el ticket promedio más elevado, seguido por el canal de centro comercial, luego el e-commerce y finalmente el retail pequeño.</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Gráfico de evolución temporal de ventas. Objetivo: analizar la tendencia de ventas en el tiempo por origen. Se implementa como gráfico de líneas con la dimensión fecha en granularidad mensual y la métrica SUM de monto_total, desagregado</w:t>
      </w:r>
      <w:r>
        <w:rPr>
          <w:rFonts w:ascii="Arial" w:hAnsi="Arial" w:eastAsia="Arial" w:cs="Arial"/>
          <w:color w:val="000000" w:themeColor="text1"/>
        </w:rPr>
        <w:t xml:space="preserve"> por codigo_origen. El hallazgo es que WorldWideImporters muestra picos estacionales consistentes en los meses de cierre de año, mientras Olist presenta crecimiento acelerado en el período 2017 a 2018 reflejando la expansión del e-commerce latinoamericano.</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Gráfico de método de pago versus ticket promedio en Olist. Objetivo: analizar el impacto del método de pago y las cuotas en el valor de compra. Se implementa como gráfico de barras filtrado por origen Olist c</w:t>
      </w:r>
      <w:r>
        <w:rPr>
          <w:rFonts w:ascii="Arial" w:hAnsi="Arial" w:eastAsia="Arial" w:cs="Arial"/>
          <w:color w:val="000000" w:themeColor="text1"/>
        </w:rPr>
        <w:t xml:space="preserve">on la dimensión metodo_pago y las métricas AVG de monto_total y COUNT de registros. El hallazgo es que la tarjeta de crédito es el método predominante y las compras con cuotas presentan tickets promedio significativamente superiores a los pagos de contado.</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Gráfico de estacionalidad en tiendas pequeñas. Objetivo: identificar los períodos de mayor demanda en el canal retail físico. Se implementa como gráfico de líneas filtrado por orígenes Different</w:t>
      </w:r>
      <w:r>
        <w:rPr>
          <w:rFonts w:ascii="Arial" w:hAnsi="Arial" w:eastAsia="Arial" w:cs="Arial"/>
          <w:color w:val="000000" w:themeColor="text1"/>
        </w:rPr>
        <w:t xml:space="preserve">StoreSales y RetailStoreSales con la dimensión fecha en granularidad mensual y la métrica SUM de monto_total. El hallazgo es que las tiendas pequeñas presentan picos de venta en los meses de fin de año, consistentes con los patrones del comercio minorista.</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Gráfico de tendencia MongoDB versus</w:t>
      </w:r>
      <w:r>
        <w:rPr>
          <w:rFonts w:ascii="Arial" w:hAnsi="Arial" w:eastAsia="Arial" w:cs="Arial"/>
          <w:color w:val="000000" w:themeColor="text1"/>
        </w:rPr>
        <w:t xml:space="preserve"> OLTP. Objetivo: verificar la consistencia entre los datos de comportamiento NoSQL y los datos transaccionales relacionales. Se implementa como dos gráficos de líneas paralelos, uno sobre el dataset mongo_transactions con SUM de total por fecha y otro sobr</w:t>
      </w:r>
      <w:r>
        <w:rPr>
          <w:rFonts w:ascii="Arial" w:hAnsi="Arial" w:eastAsia="Arial" w:cs="Arial"/>
          <w:color w:val="000000" w:themeColor="text1"/>
        </w:rPr>
        <w:t xml:space="preserve">e fact_ventas_completo con SUM de monto_total por fecha. El hallazgo es que las tendencias temporales de ambas fuentes son consistentes en dirección aunque difieren en magnitud por las diferencias de alcance geográfico y temporal de cada conjunto de datos.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br w:type="page" w:clear="all"/>
      </w:r>
      <w:r>
        <w:rPr>
          <w:rFonts w:ascii="Arial" w:hAnsi="Arial" w:eastAsia="Arial" w:cs="Arial"/>
          <w:color w:val="000000" w:themeColor="text1"/>
        </w:rPr>
      </w:r>
    </w:p>
    <w:p>
      <w:pPr>
        <w:pStyle w:val="693"/>
        <w:pBdr/>
        <w:spacing w:line="360" w:lineRule="auto"/>
        <w:ind/>
        <w:rPr>
          <w:rFonts w:ascii="Arial" w:hAnsi="Arial" w:cs="Arial"/>
          <w:color w:val="000000" w:themeColor="text1"/>
        </w:rPr>
      </w:pPr>
      <w:r>
        <w:rPr>
          <w:rFonts w:ascii="Arial" w:hAnsi="Arial" w:eastAsia="Arial" w:cs="Arial"/>
          <w:color w:val="000000" w:themeColor="text1"/>
        </w:rPr>
        <w:t xml:space="preserve">8. Análisis e Interpretación de Resultados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análisis de los datos consolidados en el Data Warehouse permite identificar tendencias, comportamientos y patrones que no eran visibles desde los sistemas operacionales individuales.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En cuanto a tendencias identificadas, el canal B2B de manufactura multinacional WorldWideImporters domina el volumen de ventas en término</w:t>
      </w:r>
      <w:r>
        <w:rPr>
          <w:rFonts w:ascii="Arial" w:hAnsi="Arial" w:eastAsia="Arial" w:cs="Arial"/>
          <w:color w:val="000000" w:themeColor="text1"/>
        </w:rPr>
        <w:t xml:space="preserve">s de monto total, pero el canal e-commerce Olist presenta el mayor crecimiento relativo en el período analizado. Las ventas de todos los orígenes presentan estacionalidad con picos en el último trimestre del año, coincidiendo con las temporadas de mayor co</w:t>
      </w:r>
      <w:r>
        <w:rPr>
          <w:rFonts w:ascii="Arial" w:hAnsi="Arial" w:eastAsia="Arial" w:cs="Arial"/>
          <w:color w:val="000000" w:themeColor="text1"/>
        </w:rPr>
        <w:t xml:space="preserve">nsumo a nivel global y latinoamericano. El canal online de Olist muestra una concentración significativa del volumen en categorías de tecnología, hogar y salud, mientras el retail físico pequeño distribuye sus ventas de forma más uniforme entre categorías.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En cuanto a comportamientos relevantes encontrados, el fraccionamiento de pago en cuotas es masivo en Olist, representando más del sesenta por ciento de las transacciones y correlacionando positivamente con tickets promedio más altos.</w:t>
      </w:r>
      <w:r>
        <w:rPr>
          <w:rFonts w:ascii="Arial" w:hAnsi="Arial" w:eastAsia="Arial" w:cs="Arial"/>
          <w:color w:val="000000" w:themeColor="text1"/>
        </w:rPr>
        <w:t xml:space="preserve"> Esto confirma que las cuotas son un facilitador de compra en el e-commerce latinoamericano. El tiempo de entrega en Olist presenta alta variabilidad, con una cola de distribución extendida hacia entregas de más de veinte días que coincide con calificacion</w:t>
      </w:r>
      <w:r>
        <w:rPr>
          <w:rFonts w:ascii="Arial" w:hAnsi="Arial" w:eastAsia="Arial" w:cs="Arial"/>
          <w:color w:val="000000" w:themeColor="text1"/>
        </w:rPr>
        <w:t xml:space="preserve">es de clientes más bajas, confirmando el impacto logístico en la satisfacción. En el retail pequeño se observa que los clientes de mayor edad tienden a preferir el pago en efectivo mientras los segmentos más jóvenes usan preferentemente tarjeta de crédito.</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En cuanto a l</w:t>
      </w:r>
      <w:r>
        <w:rPr>
          <w:rFonts w:ascii="Arial" w:hAnsi="Arial" w:eastAsia="Arial" w:cs="Arial"/>
          <w:color w:val="000000" w:themeColor="text1"/>
        </w:rPr>
        <w:t xml:space="preserve">as decisiones que podrían tomarse con esta información, la correlación entre tiempo de entrega y calificación en Olist sugiere que reducir el lead time por debajo de siete días representaría una mejora significativa en la satisfacción del cliente y potenci</w:t>
      </w:r>
      <w:r>
        <w:rPr>
          <w:rFonts w:ascii="Arial" w:hAnsi="Arial" w:eastAsia="Arial" w:cs="Arial"/>
          <w:color w:val="000000" w:themeColor="text1"/>
        </w:rPr>
        <w:t xml:space="preserve">almente en la tasa de recompra. La concentración de ventas en el último trimestre en todos los canales indica que la planificación de inventario y logística debe anticiparse con al menos dos meses de anticipación para el período de mayor demanda. La compar</w:t>
      </w:r>
      <w:r>
        <w:rPr>
          <w:rFonts w:ascii="Arial" w:hAnsi="Arial" w:eastAsia="Arial" w:cs="Arial"/>
          <w:color w:val="000000" w:themeColor="text1"/>
        </w:rPr>
        <w:t xml:space="preserve">ación entre el ticket promedio del canal B2B y el canal retail sugiere que las estrategias de upselling y venta de soluciones completas características del modelo B2B podrían adaptarse parcialmente al canal retail para incrementar el valor por transacción.</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br w:type="page" w:clear="all"/>
      </w:r>
      <w:r>
        <w:rPr>
          <w:rFonts w:ascii="Arial" w:hAnsi="Arial" w:eastAsia="Arial" w:cs="Arial"/>
          <w:color w:val="000000" w:themeColor="text1"/>
        </w:rPr>
      </w:r>
    </w:p>
    <w:p>
      <w:pPr>
        <w:pStyle w:val="693"/>
        <w:pBdr/>
        <w:spacing w:line="360" w:lineRule="auto"/>
        <w:ind/>
        <w:rPr>
          <w:rFonts w:ascii="Arial" w:hAnsi="Arial" w:cs="Arial"/>
          <w:color w:val="000000" w:themeColor="text1"/>
        </w:rPr>
      </w:pPr>
      <w:r>
        <w:rPr>
          <w:rFonts w:ascii="Arial" w:hAnsi="Arial" w:eastAsia="Arial" w:cs="Arial"/>
          <w:color w:val="000000" w:themeColor="text1"/>
        </w:rPr>
        <w:t xml:space="preserve">9. Conclusiones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La imple</w:t>
      </w:r>
      <w:r>
        <w:rPr>
          <w:rFonts w:ascii="Arial" w:hAnsi="Arial" w:eastAsia="Arial" w:cs="Arial"/>
          <w:color w:val="000000" w:themeColor="text1"/>
        </w:rPr>
        <w:t xml:space="preserve">mentación del Data Warehouse demuestra que es posible integrar fuentes de datos heterogéneas en motores completamente distintos, PostgreSQL, SQL Server, SQLite y MongoDB, en un único modelo dimensional coherente mediante la arquitectura de ETL virtual con </w:t>
      </w:r>
      <w:r>
        <w:rPr>
          <w:rFonts w:ascii="Arial" w:hAnsi="Arial" w:eastAsia="Arial" w:cs="Arial"/>
          <w:color w:val="000000" w:themeColor="text1"/>
        </w:rPr>
        <w:t xml:space="preserve">Foreign Data Wrappers y dbt. Esta arquitectura elimina los cuellos de botella de rendimiento del ETL clásico al evitar copias intermedias de datos y reduce el tiempo de desarrollo al centralizar toda la lógica de transformación en modelos SQL declarativos.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La metodología HEFESTO en su enfoque top-down demostró ser adecuada para guiar el diseño desde las preguntas de negocio hacia el modelo dimensional, garantizando que cada elemento del </w:t>
      </w:r>
      <w:r>
        <w:rPr>
          <w:rFonts w:ascii="Arial" w:hAnsi="Arial" w:eastAsia="Arial" w:cs="Arial"/>
          <w:color w:val="000000" w:themeColor="text1"/>
        </w:rPr>
        <w:t xml:space="preserve">DWH responde a una necesidad analítica concreta. Las 15 preguntas de negocio definidas pudieron responderse en su totalidad mediante las visualizaciones implementadas en Apache Superset, validando que el modelo dimensional captura la información necesaria.</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análisis comparativo entre canales revela diferencias estructurales entre los mercados representados. El canal B2B multinacional presenta mayor volumen y ticket promedio, el e-commerce latinoamericano presenta mayor cre</w:t>
      </w:r>
      <w:r>
        <w:rPr>
          <w:rFonts w:ascii="Arial" w:hAnsi="Arial" w:eastAsia="Arial" w:cs="Arial"/>
          <w:color w:val="000000" w:themeColor="text1"/>
        </w:rPr>
        <w:t xml:space="preserve">cimiento y dinamismo en métodos de pago, y el retail físico pequeño presenta mayor proximidad al cliente en términos de datos demográficos. Estas diferencias estructurales justifican estrategias comerciales diferenciadas por canal y no un enfoque uniforme.</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La arquitectura Docker Compose garantiza la reproducibilidad completa del entorno de Data Warehouse, lo que r</w:t>
      </w:r>
      <w:r>
        <w:rPr>
          <w:rFonts w:ascii="Arial" w:hAnsi="Arial" w:eastAsia="Arial" w:cs="Arial"/>
          <w:color w:val="000000" w:themeColor="text1"/>
        </w:rPr>
        <w:t xml:space="preserve">epresenta una ventaja significativa respecto a implementaciones tradicionales que requieren configuración manual de servidores. Cualquier equipo con Docker instalado puede replicar el entorno completo en minutos siguiendo las instrucciones del repositorio.</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La integración de datos NoSQL provenientes de MongoDB mediante el pipeline de exportación a CSV y carga con COPY FROM demuestra que los datos de comporta</w:t>
      </w:r>
      <w:r>
        <w:rPr>
          <w:rFonts w:ascii="Arial" w:hAnsi="Arial" w:eastAsia="Arial" w:cs="Arial"/>
          <w:color w:val="000000" w:themeColor="text1"/>
        </w:rPr>
        <w:t xml:space="preserve">miento de consumidor almacenados en modelos de documentos pueden incorporarse al análisis relacional sin perder información relevante, aunque implican un paso de aplanamiento de la estructura jerárquica que debe documentarse como parte del linaje de datos.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br w:type="page" w:clear="all"/>
      </w:r>
      <w:r>
        <w:rPr>
          <w:rFonts w:ascii="Arial" w:hAnsi="Arial" w:eastAsia="Arial" w:cs="Arial"/>
          <w:color w:val="000000" w:themeColor="text1"/>
        </w:rPr>
      </w:r>
    </w:p>
    <w:p>
      <w:pPr>
        <w:pStyle w:val="693"/>
        <w:pBdr/>
        <w:spacing w:line="360" w:lineRule="auto"/>
        <w:ind/>
        <w:rPr>
          <w:rFonts w:ascii="Arial" w:hAnsi="Arial" w:cs="Arial"/>
          <w:color w:val="000000" w:themeColor="text1"/>
        </w:rPr>
      </w:pPr>
      <w:r>
        <w:rPr>
          <w:rFonts w:ascii="Arial" w:hAnsi="Arial" w:eastAsia="Arial" w:cs="Arial"/>
          <w:color w:val="000000" w:themeColor="text1"/>
        </w:rPr>
        <w:t xml:space="preserve">10. Recomendaciones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Se recomienda automatizar la ejecución del pipeline ETL mediante un orquestador de tareas co</w:t>
      </w:r>
      <w:r>
        <w:rPr>
          <w:rFonts w:ascii="Arial" w:hAnsi="Arial" w:eastAsia="Arial" w:cs="Arial"/>
          <w:color w:val="000000" w:themeColor="text1"/>
        </w:rPr>
        <w:t xml:space="preserve">mo Apache Airflow o dbt Cloud Scheduler. La automatización permitiría programar cargas incrementales periódicas, reduciendo el tiempo de actualización del DWH de horas a minutos mediante la detección de registros nuevos o modificados desde la última carga.</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Se recomienda incorporar la dimensión de región de forma completa en la tabla de hechos. En la implementación actual region_key queda como NULL para todos los orígenes porque la región no </w:t>
      </w:r>
      <w:r>
        <w:rPr>
          <w:rFonts w:ascii="Arial" w:hAnsi="Arial" w:eastAsia="Arial" w:cs="Arial"/>
          <w:color w:val="000000" w:themeColor="text1"/>
        </w:rPr>
        <w:t xml:space="preserve">se puede derivar directamente de la tabla de hechos sin consultar la dimensión de cliente. Una mejora directa sería agregar region_key en la capa de staging de cada origen donde los datos estén disponibles, enriqueciendo el análisis geográfico consolidado.</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Se recomienda implementar pruebas de calidad de datos declarativas con dbt test para validar automáticamente rest</w:t>
      </w:r>
      <w:r>
        <w:rPr>
          <w:rFonts w:ascii="Arial" w:hAnsi="Arial" w:eastAsia="Arial" w:cs="Arial"/>
          <w:color w:val="000000" w:themeColor="text1"/>
        </w:rPr>
        <w:t xml:space="preserve">ricciones de unicidad en las dimensiones, ausencia de valores nulos en campos críticos de la tabla de hechos y rangos válidos para medidas numéricas. Estas pruebas ejecutadas después de cada carga garantizarían la confiabilidad del DWH sin revisión manual.</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Se recomienda explorar la integración directa de MongoDB mediante la extensión mongo_</w:t>
      </w:r>
      <w:r>
        <w:rPr>
          <w:rFonts w:ascii="Arial" w:hAnsi="Arial" w:eastAsia="Arial" w:cs="Arial"/>
          <w:color w:val="000000" w:themeColor="text1"/>
        </w:rPr>
        <w:t xml:space="preserve">fdw de PostgreSQL para futuras iteraciones del proyecto. Aunque en este proyecto se optó por el pipeline CSV por la complejidad de instalación, la integración directa eliminaría el paso de exportación manual y haría el pipeline completamente automatizable.</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Se recomienda implementar una capa de agregación precomputa</w:t>
      </w:r>
      <w:r>
        <w:rPr>
          <w:rFonts w:ascii="Arial" w:hAnsi="Arial" w:eastAsia="Arial" w:cs="Arial"/>
          <w:color w:val="000000" w:themeColor="text1"/>
        </w:rPr>
        <w:t xml:space="preserve">da en el DWH para los KPIs de uso más frecuente, como el total de ventas diario por origen y canal. Estas vistas materializadas mejorarían significativamente el tiempo de respuesta de los dashboards más consultados sin modificar el modelo dimensional base.</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br w:type="page" w:clear="all"/>
      </w:r>
      <w:r>
        <w:rPr>
          <w:rFonts w:ascii="Arial" w:hAnsi="Arial" w:eastAsia="Arial" w:cs="Arial"/>
          <w:color w:val="000000" w:themeColor="text1"/>
        </w:rPr>
      </w:r>
    </w:p>
    <w:p>
      <w:pPr>
        <w:pStyle w:val="693"/>
        <w:pBdr/>
        <w:spacing w:line="360" w:lineRule="auto"/>
        <w:ind/>
        <w:rPr>
          <w:rFonts w:ascii="Arial" w:hAnsi="Arial" w:cs="Arial"/>
          <w:color w:val="000000" w:themeColor="text1"/>
        </w:rPr>
      </w:pPr>
      <w:r>
        <w:rPr>
          <w:rFonts w:ascii="Arial" w:hAnsi="Arial" w:eastAsia="Arial" w:cs="Arial"/>
          <w:color w:val="000000" w:themeColor="text1"/>
        </w:rPr>
        <w:t xml:space="preserve">Anexos</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Anexo A. Diccionario de Datos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diccionario de datos documenta cada tabla del modelo dimensional con su descripción, columnas, tipos de datos, claves y restricciones.</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fact_ventas_detalle es la tabla de hechos cent</w:t>
      </w:r>
      <w:r>
        <w:rPr>
          <w:rFonts w:ascii="Arial" w:hAnsi="Arial" w:eastAsia="Arial" w:cs="Arial"/>
          <w:color w:val="000000" w:themeColor="text1"/>
        </w:rPr>
        <w:t xml:space="preserve">ral con granularidad de una línea de venta por fila. Columnas: tiempo_key INTEGER referencia a dim_tiempo, producto_key INTEGER referencia a dim_producto, cliente_key INTEGER referencia a dim_cliente, region_key INTEGER nullable referencia a dim_region, me</w:t>
      </w:r>
      <w:r>
        <w:rPr>
          <w:rFonts w:ascii="Arial" w:hAnsi="Arial" w:eastAsia="Arial" w:cs="Arial"/>
          <w:color w:val="000000" w:themeColor="text1"/>
        </w:rPr>
        <w:t xml:space="preserve">todo_pago_key INTEGER referencia a dim_metodo_pago, canal_key INTEGER referencia a dim_canal, tienda_key INTEGER referencia a dim_tienda, origen_key INTEGER referencia a dim_origen, cantidad NUMERIC, precio_unitario NUMERIC, monto_total NUMERIC, costo_unit</w:t>
      </w:r>
      <w:r>
        <w:rPr>
          <w:rFonts w:ascii="Arial" w:hAnsi="Arial" w:eastAsia="Arial" w:cs="Arial"/>
          <w:color w:val="000000" w:themeColor="text1"/>
        </w:rPr>
        <w:t xml:space="preserve">ario NUMERIC nullable, ganancia_neta NUMERIC nullable, descuento_pct NUMERIC nullable, calificacion_item NUMERIC nullable, tiempo_entrega_dias INTEGER nullable, cuotas_pago SMALLINT nullable, compras_previas SMALLINT nullable, flete_valor NUMERIC nullable.</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dim_tiempo </w:t>
      </w:r>
      <w:r>
        <w:rPr>
          <w:rFonts w:ascii="Arial" w:hAnsi="Arial" w:eastAsia="Arial" w:cs="Arial"/>
          <w:color w:val="000000" w:themeColor="text1"/>
        </w:rPr>
        <w:t xml:space="preserve">contiene la jerarquía temporal completa. Columnas: tiempo_key INTEGER clave primaria, fecha DATE única, dia SMALLINT, semana SMALLINT, mes SMALLINT, trimestre SMALLINT, anio SMALLINT, nombre_dia TEXT, nombre_mes TEXT, temporada TEXT, es_fin_semana BOOLEAN.</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dim_producto contiene el catálogo de productos consolidado. Columnas: producto_key INTEGER clave primaria, producto_id_origen TEXT, nombre_producto TEXT, categoria TEXT, subcategoria TEXT, origen_sistema TEXT.</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dim_cliente contiene los datos de clientes consolidados. Columnas: cliente_ke</w:t>
      </w:r>
      <w:r>
        <w:rPr>
          <w:rFonts w:ascii="Arial" w:hAnsi="Arial" w:eastAsia="Arial" w:cs="Arial"/>
          <w:color w:val="000000" w:themeColor="text1"/>
        </w:rPr>
        <w:t xml:space="preserve">y INTEGER clave primaria, cliente_id_origen TEXT, nombre_cliente TEXT nullable, edad SMALLINT nullable, genero VARCHAR nullable, ciudad TEXT nullable, estado_provincia TEXT nullable, pais TEXT nullable, region_geografica TEXT nullable, origen_sistema TEXT.</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dim_metodo_pago contiene los métodos de pago normalizados. Columnas: metodo_pago_key INTEGER clave primaria, tipo_pago_normalizado TEXT, tipo_pago_origen TEXT, acepta_cuotas BOOLEAN, origen_sistema TEXT.</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dim_canal clasifica el tipo de venta. Columnas: canal_key INTEGER clave primaria, tipo_canal TEXT, subcategoria_canal TEXT, descripcion TEXT.</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dim_origen describe las fuentes de datos. Columnas: origen_key INTEGER clave primaria, codigo_origen TEXT, nombre_completo TEXT, motor_bd TEXT, tipo_datos TEXT, tipo_canal TEXT, mercado TEXT, registros_aprox INTEGER.</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Anexo B. Scripts SQL</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Los scripts SQL del proyecto se organizan en orden de ejecución numerado en el repositorio. El script de extensiones FDW crea las tres extensiones postgres_fdw, tds_fdw y sqlite_fdw. El script de servidor</w:t>
      </w:r>
      <w:r>
        <w:rPr>
          <w:rFonts w:ascii="Arial" w:hAnsi="Arial" w:eastAsia="Arial" w:cs="Arial"/>
          <w:color w:val="000000" w:themeColor="text1"/>
        </w:rPr>
        <w:t xml:space="preserve">es origen crea los cinco servidores FDW con sus opciones de conexión. El script de esquemas de staging crea los cinco esquemas de staging virtual. Los scripts de dimensiones y hechos definen las tablas del modelo dimensional con sus restricciones y claves.</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Anexo C. Modelos dbt</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proyecto dbt contiene 17 modelos organizados en tres capas. La capa de staging contiene 13 modelos de extracción y tipado por origen: stg_wwi_ventas, stg_wwi_clientes, stg_wwi_productos, stg_olist_ventas, stg_olist_clientes, stg_oli</w:t>
      </w:r>
      <w:r>
        <w:rPr>
          <w:rFonts w:ascii="Arial" w:hAnsi="Arial" w:eastAsia="Arial" w:cs="Arial"/>
          <w:color w:val="000000" w:themeColor="text1"/>
        </w:rPr>
        <w:t xml:space="preserve">st_produtos, stg_diffstore_ventas, stg_diffstore_clientes, stg_diffstore_produtos, stg_diffstore_tiendas, stg_retail_ventas, stg_retail_clientes y stg_retail_produtos. La capa intermediate contiene 4 modelos de consolidación: int_ventas_unificadas, int_cli</w:t>
      </w:r>
      <w:r>
        <w:rPr>
          <w:rFonts w:ascii="Arial" w:hAnsi="Arial" w:eastAsia="Arial" w:cs="Arial"/>
          <w:color w:val="000000" w:themeColor="text1"/>
        </w:rPr>
        <w:t xml:space="preserve">entes_unificados, int_productos_unificados e int_tiendas_unificadas. La capa de marts contiene 9 modelos de materialización física: dim_tiempo, dim_producto, dim_cliente, dim_region, dim_metodo_pago, dim_canal, dim_tienda, dim_origen y fact_ventas_detalle.</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Anexo D. Capturas de Ejecución ETL</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Las capturas de la ejecución del pipeline dbt muestran la salida del comando dbt run con el listado de los 17 modelos ejecutados en orden de dependencias, los tiempos de ejecución por modelo y los mensajes de confir</w:t>
      </w:r>
      <w:r>
        <w:rPr>
          <w:rFonts w:ascii="Arial" w:hAnsi="Arial" w:eastAsia="Arial" w:cs="Arial"/>
          <w:color w:val="000000" w:themeColor="text1"/>
        </w:rPr>
        <w:t xml:space="preserve">mación de creación de vistas y tablas. La ejecución completa del pipeline, incluyendo la materialización de la tabla de hechos con aproximadamente 445 000 registros transferidos desde cuatro orígenes heterogéneos, se completa en aproximadamente 45 minutos.</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Anexo E. Dashboard Final</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Los dashboards implementados en Apache Superset se acceden en la instancia local en el puerto 8088. El dashboard DWH Consolidado muestra los KPIs principales del negocio integrado. El dashboard WorldWideImporters muestra el análisis de manufactura multin</w:t>
      </w:r>
      <w:r>
        <w:rPr>
          <w:rFonts w:ascii="Arial" w:hAnsi="Arial" w:eastAsia="Arial" w:cs="Arial"/>
          <w:color w:val="000000" w:themeColor="text1"/>
        </w:rPr>
        <w:t xml:space="preserve">acional. El dashboard Olist E-Commerce muestra el análisis del canal online latinoamericano. El dashboard Retail Pequeño muestra el análisis de tiendas físicas pequeñas. El dashboard MongoDB Analytics muestra la comparación de tendencias NoSQL versus OLTP.</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Anexo F. Manual de Usuario del Dashboard</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Para acceder a los dashboards abrir un navegador y dirigirs</w:t>
      </w:r>
      <w:r>
        <w:rPr>
          <w:rFonts w:ascii="Arial" w:hAnsi="Arial" w:eastAsia="Arial" w:cs="Arial"/>
          <w:color w:val="000000" w:themeColor="text1"/>
        </w:rPr>
        <w:t xml:space="preserve">e a la dirección localhost en el puerto 8088. Ingresar con las credenciales de administrador configuradas durante la inicialización de Superset. En el menú superior seleccionar Dashboards para ver la lista de dashboards disponibles. Cada dashboard permite </w:t>
      </w:r>
      <w:r>
        <w:rPr>
          <w:rFonts w:ascii="Arial" w:hAnsi="Arial" w:eastAsia="Arial" w:cs="Arial"/>
          <w:color w:val="000000" w:themeColor="text1"/>
        </w:rPr>
        <w:t xml:space="preserve">filtrar por rango de fechas usando el filtro de tiempo en la parte superior, filtrar por origen sistema usando el filtro de origen, y hacer clic en cualquier elemento de un gráfico para aplicar filtros cruzados entre los demás gráficos del mismo dashboard.</w:t>
      </w:r>
      <w:r>
        <w:rPr>
          <w:rFonts w:ascii="Arial" w:hAnsi="Arial" w:eastAsia="Arial" w:cs="Arial"/>
          <w:color w:val="000000" w:themeColor="text1"/>
        </w:rPr>
      </w:r>
    </w:p>
    <w:p>
      <w:pPr>
        <w:pStyle w:val="694"/>
        <w:pBdr/>
        <w:spacing w:line="360" w:lineRule="auto"/>
        <w:ind/>
        <w:rPr>
          <w:rFonts w:ascii="Arial" w:hAnsi="Arial" w:cs="Arial"/>
          <w:color w:val="000000" w:themeColor="text1"/>
        </w:rPr>
      </w:pPr>
      <w:r>
        <w:rPr>
          <w:rFonts w:ascii="Arial" w:hAnsi="Arial" w:eastAsia="Arial" w:cs="Arial"/>
          <w:color w:val="000000" w:themeColor="text1"/>
        </w:rPr>
        <w:t xml:space="preserve">Anexo G. Repositorio GitHub</w:t>
      </w:r>
      <w:r>
        <w:rPr>
          <w:rFonts w:ascii="Arial" w:hAnsi="Arial" w:eastAsia="Arial" w:cs="Arial"/>
          <w:color w:val="000000" w:themeColor="text1"/>
        </w:rPr>
      </w:r>
    </w:p>
    <w:p>
      <w:pPr>
        <w:pBdr/>
        <w:spacing w:after="0" w:line="360" w:lineRule="auto"/>
        <w:ind/>
        <w:rPr>
          <w:rFonts w:ascii="Arial" w:hAnsi="Arial" w:cs="Arial"/>
          <w:color w:val="000000" w:themeColor="text1"/>
        </w:rPr>
      </w:pPr>
      <w:r>
        <w:rPr>
          <w:rFonts w:ascii="Arial" w:hAnsi="Arial" w:eastAsia="Arial" w:cs="Arial"/>
          <w:color w:val="000000" w:themeColor="text1"/>
        </w:rPr>
        <w:t xml:space="preserve">El repositorio del proyecto contiene todos los artefactos necesarios para replicar el entorno completo: scripts SQL organizados en orden de ejecución, proyecto dbt con todos</w:t>
      </w:r>
      <w:r>
        <w:rPr>
          <w:rFonts w:ascii="Arial" w:hAnsi="Arial" w:eastAsia="Arial" w:cs="Arial"/>
          <w:color w:val="000000" w:themeColor="text1"/>
        </w:rPr>
        <w:t xml:space="preserve"> los modelos, pipeline Python para extracción MongoDB, archivo Docker Compose para orquestación de contenedores y documentación técnica completa. Las instrucciones de instalación paso a paso se encuentran en el archivo README.md en la raíz del repositorio.</w:t>
      </w:r>
      <w:r>
        <w:rPr>
          <w:rFonts w:ascii="Arial" w:hAnsi="Arial" w:eastAsia="Arial" w:cs="Arial"/>
          <w:color w:val="000000" w:themeColor="text1"/>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Times New Roman">
    <w:panose1 w:val="02020603050405020304"/>
  </w:font>
  <w:font w:name="Courier">
    <w:panose1 w:val="02000503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_514" w:customStyle="1">
    <w:name w:val="Defaul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0" w:afterAutospacing="0" w:before="0" w:beforeAutospacing="0" w:line="240" w:lineRule="auto"/>
      <w:ind w:right="0" w:firstLine="0" w:left="0"/>
      <w:contextualSpacing w:val="false"/>
      <w:jc w:val="left"/>
    </w:pPr>
    <w:rPr>
      <w:rFonts w:ascii="Times New Roman" w:hAnsi="Times New Roman" w:cs="Times New Roman" w:eastAsiaTheme="minorHAnsi"/>
      <w:b w:val="0"/>
      <w:bCs w:val="0"/>
      <w:i w:val="0"/>
      <w:iCs w:val="0"/>
      <w:caps w:val="0"/>
      <w:smallCaps w:val="0"/>
      <w:strike w:val="0"/>
      <w:vanish w:val="0"/>
      <w:color w:val="000000"/>
      <w:spacing w:val="0"/>
      <w:position w:val="0"/>
      <w:sz w:val="24"/>
      <w:szCs w:val="24"/>
      <w:highlight w:val="none"/>
      <w:u w:val="none"/>
      <w:vertAlign w:val="baseline"/>
      <w:rtl w:val="0"/>
      <w:cs w:val="0"/>
      <w:lang w:val="es-BO" w:eastAsia="en-US" w:bidi="ar-SA"/>
      <w14:ligatures w14:val="none"/>
    </w:rPr>
  </w:style>
  <w:style w:type="character" w:styleId="1_515" w:customStyle="1">
    <w:name w:val="normaltextrun"/>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2026-06-17T10:56:46Z</dcterms:modified>
  <cp:category/>
</cp:coreProperties>
</file>