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67.png" ContentType="image/png"/>
  <Override PartName="/word/media/rId55.png" ContentType="image/png"/>
  <Override PartName="/word/media/rId59.png" ContentType="image/png"/>
  <Override PartName="/word/media/rId63.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bookmarkStart w:id="20" w:name="comprehensive-markdown-to-pdf-sample"/>
    <w:p>
      <w:pPr>
        <w:pStyle w:val="Heading1"/>
        <w:pageBreakBefore/>
      </w:pPr>
      <w:r>
        <w:t xml:space="preserve">Comprehensive Markdown to PDF Sample</w:t>
      </w:r>
    </w:p>
    <w:p>
      <w:pPr>
        <w:pStyle w:val="FirstParagraph"/>
      </w:pPr>
      <w:r>
        <w:t xml:space="preserve">This document demonstrates the full range of formatting features supported by the</w:t>
      </w:r>
      <w:r>
        <w:t xml:space="preserve"> </w:t>
      </w:r>
      <w:r>
        <w:rPr>
          <w:bCs/>
          <w:b/>
        </w:rPr>
        <w:t xml:space="preserve">Markdown-to-PDF</w:t>
      </w:r>
      <w:r>
        <w:t xml:space="preserve"> </w:t>
      </w:r>
      <w:r>
        <w:t xml:space="preserve">action, with an emphasis on tables and document structure.</w:t>
      </w:r>
    </w:p>
    <w:p>
      <w:pPr>
        <w:pStyle w:val="BodyText"/>
      </w:pPr>
      <w:r>
        <w:t xml:space="preserve">With the</w:t>
      </w:r>
      <w:r>
        <w:t xml:space="preserve"> </w:t>
      </w:r>
      <w:r>
        <w:rPr>
          <w:rStyle w:val="VerbatimChar"/>
        </w:rPr>
        <w:t xml:space="preserve">page_breaks: sections</w:t>
      </w:r>
      <w:r>
        <w:t xml:space="preserve"> </w:t>
      </w:r>
      <w:r>
        <w:t xml:space="preserve">feature enabled, each major section (H1 heading) begins on a new page, making this document suitable for printed reports and formal publications.</w:t>
      </w:r>
    </w:p>
    <w:bookmarkEnd w:id="20"/>
    <w:bookmarkStart w:id="28" w:name="tables-data"/>
    <w:p>
      <w:pPr>
        <w:pStyle w:val="Heading1"/>
        <w:pageBreakBefore/>
      </w:pPr>
      <w:r>
        <w:t xml:space="preserve">Tables &amp; Data</w:t>
      </w:r>
    </w:p>
    <w:bookmarkStart w:id="21" w:name="simple-table"/>
    <w:p>
      <w:pPr>
        <w:pStyle w:val="Heading2"/>
      </w:pPr>
      <w:r>
        <w:t xml:space="preserve">Simple Table</w:t>
      </w:r>
    </w:p>
    <w:tbl>
      <w:tblPr>
        <w:tblStyle w:val="TableNormal"/>
        <w:tblW w:type="pct" w:w="5000"/>
        <w:tblLook w:firstRow="1" w:lastRow="0" w:firstColumn="0" w:lastColumn="0" w:noHBand="0" w:noVBand="0" w:val="0020"/>
        <w:jc w:val="start"/>
        <w:tblLayout w:type="autofi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License</w:t>
            </w:r>
          </w:p>
        </w:tc>
      </w:tr>
      <w:tr>
        <w:tc>
          <w:tcPr/>
          <w:p>
            <w:pPr>
              <w:pStyle w:val="Compact"/>
              <w:jc w:val="left"/>
            </w:pPr>
            <w:r>
              <w:t xml:space="preserve">Pandoc</w:t>
            </w:r>
          </w:p>
        </w:tc>
        <w:tc>
          <w:tcPr/>
          <w:p>
            <w:pPr>
              <w:pStyle w:val="Compact"/>
              <w:jc w:val="left"/>
            </w:pPr>
            <w:r>
              <w:t xml:space="preserve">3.9.0.2</w:t>
            </w:r>
          </w:p>
        </w:tc>
        <w:tc>
          <w:tcPr/>
          <w:p>
            <w:pPr>
              <w:pStyle w:val="Compact"/>
              <w:jc w:val="left"/>
            </w:pPr>
            <w:r>
              <w:t xml:space="preserve">GPL-2.0+</w:t>
            </w:r>
          </w:p>
        </w:tc>
      </w:tr>
      <w:tr>
        <w:tc>
          <w:tcPr/>
          <w:p>
            <w:pPr>
              <w:pStyle w:val="Compact"/>
              <w:jc w:val="left"/>
            </w:pPr>
            <w:r>
              <w:t xml:space="preserve">LibreOffice</w:t>
            </w:r>
          </w:p>
        </w:tc>
        <w:tc>
          <w:tcPr/>
          <w:p>
            <w:pPr>
              <w:pStyle w:val="Compact"/>
              <w:jc w:val="left"/>
            </w:pPr>
            <w:r>
              <w:t xml:space="preserve">24.2.x</w:t>
            </w:r>
          </w:p>
        </w:tc>
        <w:tc>
          <w:tcPr/>
          <w:p>
            <w:pPr>
              <w:pStyle w:val="Compact"/>
              <w:jc w:val="left"/>
            </w:pPr>
            <w:r>
              <w:t xml:space="preserve">MPL-2.0</w:t>
            </w:r>
          </w:p>
        </w:tc>
      </w:tr>
      <w:tr>
        <w:tc>
          <w:tcPr/>
          <w:p>
            <w:pPr>
              <w:pStyle w:val="Compact"/>
              <w:jc w:val="left"/>
            </w:pPr>
            <w:r>
              <w:t xml:space="preserve">Python</w:t>
            </w:r>
          </w:p>
        </w:tc>
        <w:tc>
          <w:tcPr/>
          <w:p>
            <w:pPr>
              <w:pStyle w:val="Compact"/>
              <w:jc w:val="left"/>
            </w:pPr>
            <w:r>
              <w:t xml:space="preserve">3.x</w:t>
            </w:r>
          </w:p>
        </w:tc>
        <w:tc>
          <w:tcPr/>
          <w:p>
            <w:pPr>
              <w:pStyle w:val="Compact"/>
              <w:jc w:val="left"/>
            </w:pPr>
            <w:r>
              <w:t xml:space="preserve">PSF</w:t>
            </w:r>
          </w:p>
        </w:tc>
      </w:tr>
      <w:tr>
        <w:tc>
          <w:tcPr/>
          <w:p>
            <w:pPr>
              <w:pStyle w:val="Compact"/>
              <w:jc w:val="left"/>
            </w:pPr>
            <w:r>
              <w:t xml:space="preserve">Carlito</w:t>
            </w:r>
          </w:p>
        </w:tc>
        <w:tc>
          <w:tcPr/>
          <w:p>
            <w:pPr>
              <w:pStyle w:val="Compact"/>
              <w:jc w:val="left"/>
            </w:pPr>
            <w:r>
              <w:t xml:space="preserve">2022-01</w:t>
            </w:r>
          </w:p>
        </w:tc>
        <w:tc>
          <w:tcPr/>
          <w:p>
            <w:pPr>
              <w:pStyle w:val="Compact"/>
              <w:jc w:val="left"/>
            </w:pPr>
            <w:r>
              <w:t xml:space="preserve">OFL</w:t>
            </w:r>
          </w:p>
        </w:tc>
      </w:tr>
    </w:tbl>
    <w:bookmarkEnd w:id="21"/>
    <w:bookmarkStart w:id="22" w:name="table-with-alignment"/>
    <w:p>
      <w:pPr>
        <w:pStyle w:val="Heading2"/>
      </w:pPr>
      <w:r>
        <w:t xml:space="preserve">Table with Alignment</w:t>
      </w:r>
    </w:p>
    <w:tbl>
      <w:tblPr>
        <w:tblStyle w:val="TableNormal"/>
        <w:tblW w:type="pct" w:w="5000"/>
        <w:tblLook w:firstRow="1" w:lastRow="0" w:firstColumn="0" w:lastColumn="0" w:noHBand="0" w:noVBand="0" w:val="0020"/>
        <w:jc w:val="start"/>
        <w:tblLayout w:type="autofi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rPr>
          <w:tblHeader w:val="true"/>
        </w:trPr>
        <w:tc>
          <w:tcPr/>
          <w:p>
            <w:pPr>
              <w:pStyle w:val="Compact"/>
              <w:jc w:val="left"/>
            </w:pPr>
            <w:r>
              <w:t xml:space="preserve">Left-aligned</w:t>
            </w:r>
          </w:p>
        </w:tc>
        <w:tc>
          <w:tcPr/>
          <w:p>
            <w:pPr>
              <w:pStyle w:val="Compact"/>
              <w:jc w:val="center"/>
            </w:pPr>
            <w:r>
              <w:t xml:space="preserve">Center-aligned</w:t>
            </w:r>
          </w:p>
        </w:tc>
        <w:tc>
          <w:tcPr/>
          <w:p>
            <w:pPr>
              <w:pStyle w:val="Compact"/>
              <w:jc w:val="right"/>
            </w:pPr>
            <w:r>
              <w:t xml:space="preserve">Right-aligned</w:t>
            </w:r>
          </w:p>
        </w:tc>
      </w:tr>
      <w:tr>
        <w:tc>
          <w:tcPr/>
          <w:p>
            <w:pPr>
              <w:pStyle w:val="Compact"/>
              <w:jc w:val="left"/>
            </w:pPr>
            <w:r>
              <w:t xml:space="preserve">Apples</w:t>
            </w:r>
          </w:p>
        </w:tc>
        <w:tc>
          <w:tcPr/>
          <w:p>
            <w:pPr>
              <w:pStyle w:val="Compact"/>
              <w:jc w:val="center"/>
            </w:pPr>
            <w:r>
              <w:t xml:space="preserve">42</w:t>
            </w:r>
          </w:p>
        </w:tc>
        <w:tc>
          <w:tcPr/>
          <w:p>
            <w:pPr>
              <w:pStyle w:val="Compact"/>
              <w:jc w:val="right"/>
            </w:pPr>
            <w:r>
              <w:t xml:space="preserve">$12.50</w:t>
            </w:r>
          </w:p>
        </w:tc>
      </w:tr>
      <w:tr>
        <w:tc>
          <w:tcPr/>
          <w:p>
            <w:pPr>
              <w:pStyle w:val="Compact"/>
              <w:jc w:val="left"/>
            </w:pPr>
            <w:r>
              <w:t xml:space="preserve">Bananas</w:t>
            </w:r>
          </w:p>
        </w:tc>
        <w:tc>
          <w:tcPr/>
          <w:p>
            <w:pPr>
              <w:pStyle w:val="Compact"/>
              <w:jc w:val="center"/>
            </w:pPr>
            <w:r>
              <w:t xml:space="preserve">17</w:t>
            </w:r>
          </w:p>
        </w:tc>
        <w:tc>
          <w:tcPr/>
          <w:p>
            <w:pPr>
              <w:pStyle w:val="Compact"/>
              <w:jc w:val="right"/>
            </w:pPr>
            <w:r>
              <w:t xml:space="preserve">$8.25</w:t>
            </w:r>
          </w:p>
        </w:tc>
      </w:tr>
      <w:tr>
        <w:tc>
          <w:tcPr/>
          <w:p>
            <w:pPr>
              <w:pStyle w:val="Compact"/>
              <w:jc w:val="left"/>
            </w:pPr>
            <w:r>
              <w:t xml:space="preserve">Cherries</w:t>
            </w:r>
          </w:p>
        </w:tc>
        <w:tc>
          <w:tcPr/>
          <w:p>
            <w:pPr>
              <w:pStyle w:val="Compact"/>
              <w:jc w:val="center"/>
            </w:pPr>
            <w:r>
              <w:t xml:space="preserve">83</w:t>
            </w:r>
          </w:p>
        </w:tc>
        <w:tc>
          <w:tcPr/>
          <w:p>
            <w:pPr>
              <w:pStyle w:val="Compact"/>
              <w:jc w:val="right"/>
            </w:pPr>
            <w:r>
              <w:t xml:space="preserve">$24.99</w:t>
            </w:r>
          </w:p>
        </w:tc>
      </w:tr>
      <w:tr>
        <w:tc>
          <w:tcPr/>
          <w:p>
            <w:pPr>
              <w:pStyle w:val="Compact"/>
              <w:jc w:val="left"/>
            </w:pPr>
            <w:r>
              <w:t xml:space="preserve">Dates</w:t>
            </w:r>
          </w:p>
        </w:tc>
        <w:tc>
          <w:tcPr/>
          <w:p>
            <w:pPr>
              <w:pStyle w:val="Compact"/>
              <w:jc w:val="center"/>
            </w:pPr>
            <w:r>
              <w:t xml:space="preserve">5</w:t>
            </w:r>
          </w:p>
        </w:tc>
        <w:tc>
          <w:tcPr/>
          <w:p>
            <w:pPr>
              <w:pStyle w:val="Compact"/>
              <w:jc w:val="right"/>
            </w:pPr>
            <w:r>
              <w:t xml:space="preserve">$3.75</w:t>
            </w:r>
          </w:p>
        </w:tc>
      </w:tr>
    </w:tbl>
    <w:bookmarkEnd w:id="22"/>
    <w:bookmarkStart w:id="23" w:name="table-with-long-text-content"/>
    <w:p>
      <w:pPr>
        <w:pStyle w:val="Heading2"/>
      </w:pPr>
      <w:r>
        <w:t xml:space="preserve">Table with Long Text Content</w:t>
      </w:r>
    </w:p>
    <w:tbl>
      <w:tblPr>
        <w:tblStyle w:val="TableNormal"/>
        <w:tblW w:type="pct" w:w="5000"/>
        <w:tblLook w:firstRow="1" w:lastRow="0" w:firstColumn="0" w:lastColumn="0" w:noHBand="0" w:noVBand="0" w:val="0020"/>
        <w:jc w:val="start"/>
        <w:tblLayout w:type="autofi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3000"/>
        <w:gridCol w:w="3000"/>
      </w:tblGrid>
      <w:tr>
        <w:trPr>
          <w:tblHeader w:val="true"/>
        </w:trPr>
        <w:tc>
          <w:tcPr/>
          <w:p>
            <w:pPr>
              <w:pStyle w:val="Compact"/>
              <w:jc w:val="left"/>
            </w:pPr>
            <w:r>
              <w:t xml:space="preserve">Feature</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Table auto-width</w:t>
            </w:r>
          </w:p>
        </w:tc>
        <w:tc>
          <w:tcPr/>
          <w:p>
            <w:pPr>
              <w:pStyle w:val="Compact"/>
              <w:jc w:val="left"/>
            </w:pPr>
            <w:r>
              <w:t xml:space="preserve">Tables are automatically resized to fit the page width using percentage-based width.</w:t>
            </w:r>
          </w:p>
        </w:tc>
        <w:tc>
          <w:tcPr/>
          <w:p>
            <w:pPr>
              <w:pStyle w:val="Compact"/>
              <w:jc w:val="left"/>
            </w:pPr>
            <w:r>
              <w:t xml:space="preserve">Complete</w:t>
            </w:r>
          </w:p>
        </w:tc>
      </w:tr>
      <w:tr>
        <w:tc>
          <w:tcPr/>
          <w:p>
            <w:pPr>
              <w:pStyle w:val="Compact"/>
              <w:jc w:val="left"/>
            </w:pPr>
            <w:r>
              <w:t xml:space="preserve">Font substitution</w:t>
            </w:r>
          </w:p>
        </w:tc>
        <w:tc>
          <w:tcPr/>
          <w:p>
            <w:pPr>
              <w:pStyle w:val="Compact"/>
              <w:jc w:val="left"/>
            </w:pPr>
            <w:r>
              <w:t xml:space="preserve">Calibri is replaced with Carlito, a metric-compatible font.</w:t>
            </w:r>
          </w:p>
        </w:tc>
        <w:tc>
          <w:tcPr/>
          <w:p>
            <w:pPr>
              <w:pStyle w:val="Compact"/>
              <w:jc w:val="left"/>
            </w:pPr>
            <w:r>
              <w:t xml:space="preserve">Complete</w:t>
            </w:r>
          </w:p>
        </w:tc>
      </w:tr>
      <w:tr>
        <w:tc>
          <w:tcPr/>
          <w:p>
            <w:pPr>
              <w:pStyle w:val="Compact"/>
              <w:jc w:val="left"/>
            </w:pPr>
            <w:r>
              <w:t xml:space="preserve">Border injection</w:t>
            </w:r>
          </w:p>
        </w:tc>
        <w:tc>
          <w:tcPr/>
          <w:p>
            <w:pPr>
              <w:pStyle w:val="Compact"/>
              <w:jc w:val="left"/>
            </w:pPr>
            <w:r>
              <w:t xml:space="preserve">Visible borders are added to tables that would otherwise render borderless.</w:t>
            </w:r>
          </w:p>
        </w:tc>
        <w:tc>
          <w:tcPr/>
          <w:p>
            <w:pPr>
              <w:pStyle w:val="Compact"/>
              <w:jc w:val="left"/>
            </w:pPr>
            <w:r>
              <w:t xml:space="preserve">Complete</w:t>
            </w:r>
          </w:p>
        </w:tc>
      </w:tr>
      <w:tr>
        <w:tc>
          <w:tcPr/>
          <w:p>
            <w:pPr>
              <w:pStyle w:val="Compact"/>
              <w:jc w:val="left"/>
            </w:pPr>
            <w:r>
              <w:t xml:space="preserve">Classification boxes</w:t>
            </w:r>
          </w:p>
        </w:tc>
        <w:tc>
          <w:tcPr/>
          <w:p>
            <w:pPr>
              <w:pStyle w:val="Compact"/>
              <w:jc w:val="left"/>
            </w:pPr>
            <w:r>
              <w:t xml:space="preserve">Sensitivity label text boxes in headers are widened to fit the full text.</w:t>
            </w:r>
          </w:p>
        </w:tc>
        <w:tc>
          <w:tcPr/>
          <w:p>
            <w:pPr>
              <w:pStyle w:val="Compact"/>
              <w:jc w:val="left"/>
            </w:pPr>
            <w:r>
              <w:t xml:space="preserve">Complete</w:t>
            </w:r>
          </w:p>
        </w:tc>
      </w:tr>
      <w:tr>
        <w:tc>
          <w:tcPr/>
          <w:p>
            <w:pPr>
              <w:pStyle w:val="Compact"/>
              <w:jc w:val="left"/>
            </w:pPr>
            <w:r>
              <w:t xml:space="preserve">Heading2 fix</w:t>
            </w:r>
          </w:p>
        </w:tc>
        <w:tc>
          <w:tcPr/>
          <w:p>
            <w:pPr>
              <w:pStyle w:val="Compact"/>
              <w:jc w:val="left"/>
            </w:pPr>
            <w:r>
              <w:t xml:space="preserve">LibreOffice character-wrap bug in Heading2 is fixed by removing keepLines.</w:t>
            </w:r>
          </w:p>
        </w:tc>
        <w:tc>
          <w:tcPr/>
          <w:p>
            <w:pPr>
              <w:pStyle w:val="Compact"/>
              <w:jc w:val="left"/>
            </w:pPr>
            <w:r>
              <w:t xml:space="preserve">Complete</w:t>
            </w:r>
          </w:p>
        </w:tc>
      </w:tr>
    </w:tbl>
    <w:bookmarkEnd w:id="23"/>
    <w:bookmarkStart w:id="24" w:name="wider-table-8-columns"/>
    <w:p>
      <w:pPr>
        <w:pStyle w:val="Heading2"/>
      </w:pPr>
      <w:r>
        <w:t xml:space="preserve">Wider Table (8 columns)</w:t>
      </w:r>
    </w:p>
    <w:tbl>
      <w:tblPr>
        <w:tblStyle w:val="TableNormal"/>
        <w:tblW w:type="pct" w:w="5000"/>
        <w:tblLook w:firstRow="1" w:lastRow="0" w:firstColumn="0" w:lastColumn="0" w:noHBand="0" w:noVBand="0" w:val="0020"/>
        <w:jc w:val="start"/>
        <w:tblLayout w:type="autofi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25"/>
        <w:gridCol w:w="1125"/>
        <w:gridCol w:w="1125"/>
        <w:gridCol w:w="1125"/>
        <w:gridCol w:w="1125"/>
        <w:gridCol w:w="1125"/>
        <w:gridCol w:w="1125"/>
        <w:gridCol w:w="1125"/>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Category</w:t>
            </w:r>
          </w:p>
        </w:tc>
        <w:tc>
          <w:tcPr/>
          <w:p>
            <w:pPr>
              <w:pStyle w:val="Compact"/>
              <w:jc w:val="left"/>
            </w:pPr>
            <w:r>
              <w:t xml:space="preserve">Price</w:t>
            </w:r>
          </w:p>
        </w:tc>
        <w:tc>
          <w:tcPr/>
          <w:p>
            <w:pPr>
              <w:pStyle w:val="Compact"/>
              <w:jc w:val="left"/>
            </w:pPr>
            <w:r>
              <w:t xml:space="preserve">Quantity</w:t>
            </w:r>
          </w:p>
        </w:tc>
        <w:tc>
          <w:tcPr/>
          <w:p>
            <w:pPr>
              <w:pStyle w:val="Compact"/>
              <w:jc w:val="left"/>
            </w:pPr>
            <w:r>
              <w:t xml:space="preserve">In Stock</w:t>
            </w:r>
          </w:p>
        </w:tc>
        <w:tc>
          <w:tcPr/>
          <w:p>
            <w:pPr>
              <w:pStyle w:val="Compact"/>
              <w:jc w:val="left"/>
            </w:pPr>
            <w:r>
              <w:t xml:space="preserve">Rating</w:t>
            </w:r>
          </w:p>
        </w:tc>
        <w:tc>
          <w:tcPr/>
          <w:p>
            <w:pPr>
              <w:pStyle w:val="Compact"/>
              <w:jc w:val="left"/>
            </w:pPr>
            <w:r>
              <w:t xml:space="preserve">SKU</w:t>
            </w:r>
          </w:p>
        </w:tc>
      </w:tr>
      <w:tr>
        <w:tc>
          <w:tcPr/>
          <w:p>
            <w:pPr>
              <w:pStyle w:val="Compact"/>
              <w:jc w:val="left"/>
            </w:pPr>
            <w:r>
              <w:t xml:space="preserve">001</w:t>
            </w:r>
          </w:p>
        </w:tc>
        <w:tc>
          <w:tcPr/>
          <w:p>
            <w:pPr>
              <w:pStyle w:val="Compact"/>
              <w:jc w:val="left"/>
            </w:pPr>
            <w:r>
              <w:t xml:space="preserve">Laptop Pro</w:t>
            </w:r>
          </w:p>
        </w:tc>
        <w:tc>
          <w:tcPr/>
          <w:p>
            <w:pPr>
              <w:pStyle w:val="Compact"/>
              <w:jc w:val="left"/>
            </w:pPr>
            <w:r>
              <w:t xml:space="preserve">Electronics</w:t>
            </w:r>
          </w:p>
        </w:tc>
        <w:tc>
          <w:tcPr/>
          <w:p>
            <w:pPr>
              <w:pStyle w:val="Compact"/>
              <w:jc w:val="left"/>
            </w:pPr>
            <w:r>
              <w:t xml:space="preserve">$1,249</w:t>
            </w:r>
          </w:p>
        </w:tc>
        <w:tc>
          <w:tcPr/>
          <w:p>
            <w:pPr>
              <w:pStyle w:val="Compact"/>
              <w:jc w:val="left"/>
            </w:pPr>
            <w:r>
              <w:t xml:space="preserve">23</w:t>
            </w:r>
          </w:p>
        </w:tc>
        <w:tc>
          <w:tcPr/>
          <w:p>
            <w:pPr>
              <w:pStyle w:val="Compact"/>
              <w:jc w:val="left"/>
            </w:pPr>
            <w:r>
              <w:t xml:space="preserve">Yes</w:t>
            </w:r>
          </w:p>
        </w:tc>
        <w:tc>
          <w:tcPr/>
          <w:p>
            <w:pPr>
              <w:pStyle w:val="Compact"/>
              <w:jc w:val="left"/>
            </w:pPr>
            <w:r>
              <w:t xml:space="preserve">4.8</w:t>
            </w:r>
          </w:p>
        </w:tc>
        <w:tc>
          <w:tcPr/>
          <w:p>
            <w:pPr>
              <w:pStyle w:val="Compact"/>
              <w:jc w:val="left"/>
            </w:pPr>
            <w:r>
              <w:t xml:space="preserve">LP-2024-001</w:t>
            </w:r>
          </w:p>
        </w:tc>
      </w:tr>
      <w:tr>
        <w:tc>
          <w:tcPr/>
          <w:p>
            <w:pPr>
              <w:pStyle w:val="Compact"/>
              <w:jc w:val="left"/>
            </w:pPr>
            <w:r>
              <w:t xml:space="preserve">002</w:t>
            </w:r>
          </w:p>
        </w:tc>
        <w:tc>
          <w:tcPr/>
          <w:p>
            <w:pPr>
              <w:pStyle w:val="Compact"/>
              <w:jc w:val="left"/>
            </w:pPr>
            <w:r>
              <w:t xml:space="preserve">Wireless Mouse</w:t>
            </w:r>
          </w:p>
        </w:tc>
        <w:tc>
          <w:tcPr/>
          <w:p>
            <w:pPr>
              <w:pStyle w:val="Compact"/>
              <w:jc w:val="left"/>
            </w:pPr>
            <w:r>
              <w:t xml:space="preserve">Accessories</w:t>
            </w:r>
          </w:p>
        </w:tc>
        <w:tc>
          <w:tcPr/>
          <w:p>
            <w:pPr>
              <w:pStyle w:val="Compact"/>
              <w:jc w:val="left"/>
            </w:pPr>
            <w:r>
              <w:t xml:space="preserve">$34.99</w:t>
            </w:r>
          </w:p>
        </w:tc>
        <w:tc>
          <w:tcPr/>
          <w:p>
            <w:pPr>
              <w:pStyle w:val="Compact"/>
              <w:jc w:val="left"/>
            </w:pPr>
            <w:r>
              <w:t xml:space="preserve">142</w:t>
            </w:r>
          </w:p>
        </w:tc>
        <w:tc>
          <w:tcPr/>
          <w:p>
            <w:pPr>
              <w:pStyle w:val="Compact"/>
              <w:jc w:val="left"/>
            </w:pPr>
            <w:r>
              <w:t xml:space="preserve">Yes</w:t>
            </w:r>
          </w:p>
        </w:tc>
        <w:tc>
          <w:tcPr/>
          <w:p>
            <w:pPr>
              <w:pStyle w:val="Compact"/>
              <w:jc w:val="left"/>
            </w:pPr>
            <w:r>
              <w:t xml:space="preserve">4.5</w:t>
            </w:r>
          </w:p>
        </w:tc>
        <w:tc>
          <w:tcPr/>
          <w:p>
            <w:pPr>
              <w:pStyle w:val="Compact"/>
              <w:jc w:val="left"/>
            </w:pPr>
            <w:r>
              <w:t xml:space="preserve">WM-2024-042</w:t>
            </w:r>
          </w:p>
        </w:tc>
      </w:tr>
      <w:tr>
        <w:tc>
          <w:tcPr/>
          <w:p>
            <w:pPr>
              <w:pStyle w:val="Compact"/>
              <w:jc w:val="left"/>
            </w:pPr>
            <w:r>
              <w:t xml:space="preserve">003</w:t>
            </w:r>
          </w:p>
        </w:tc>
        <w:tc>
          <w:tcPr/>
          <w:p>
            <w:pPr>
              <w:pStyle w:val="Compact"/>
              <w:jc w:val="left"/>
            </w:pPr>
            <w:r>
              <w:t xml:space="preserve">USB-C Hub</w:t>
            </w:r>
          </w:p>
        </w:tc>
        <w:tc>
          <w:tcPr/>
          <w:p>
            <w:pPr>
              <w:pStyle w:val="Compact"/>
              <w:jc w:val="left"/>
            </w:pPr>
            <w:r>
              <w:t xml:space="preserve">Accessories</w:t>
            </w:r>
          </w:p>
        </w:tc>
        <w:tc>
          <w:tcPr/>
          <w:p>
            <w:pPr>
              <w:pStyle w:val="Compact"/>
              <w:jc w:val="left"/>
            </w:pPr>
            <w:r>
              <w:t xml:space="preserve">$49.99</w:t>
            </w:r>
          </w:p>
        </w:tc>
        <w:tc>
          <w:tcPr/>
          <w:p>
            <w:pPr>
              <w:pStyle w:val="Compact"/>
              <w:jc w:val="left"/>
            </w:pPr>
            <w:r>
              <w:t xml:space="preserve">87</w:t>
            </w:r>
          </w:p>
        </w:tc>
        <w:tc>
          <w:tcPr/>
          <w:p>
            <w:pPr>
              <w:pStyle w:val="Compact"/>
              <w:jc w:val="left"/>
            </w:pPr>
            <w:r>
              <w:t xml:space="preserve">Yes</w:t>
            </w:r>
          </w:p>
        </w:tc>
        <w:tc>
          <w:tcPr/>
          <w:p>
            <w:pPr>
              <w:pStyle w:val="Compact"/>
              <w:jc w:val="left"/>
            </w:pPr>
            <w:r>
              <w:t xml:space="preserve">4.2</w:t>
            </w:r>
          </w:p>
        </w:tc>
        <w:tc>
          <w:tcPr/>
          <w:p>
            <w:pPr>
              <w:pStyle w:val="Compact"/>
              <w:jc w:val="left"/>
            </w:pPr>
            <w:r>
              <w:t xml:space="preserve">UH-2024-087</w:t>
            </w:r>
          </w:p>
        </w:tc>
      </w:tr>
      <w:tr>
        <w:tc>
          <w:tcPr/>
          <w:p>
            <w:pPr>
              <w:pStyle w:val="Compact"/>
              <w:jc w:val="left"/>
            </w:pPr>
            <w:r>
              <w:t xml:space="preserve">004</w:t>
            </w:r>
          </w:p>
        </w:tc>
        <w:tc>
          <w:tcPr/>
          <w:p>
            <w:pPr>
              <w:pStyle w:val="Compact"/>
              <w:jc w:val="left"/>
            </w:pPr>
            <w:r>
              <w:t xml:space="preserve">Mechanical KB</w:t>
            </w:r>
          </w:p>
        </w:tc>
        <w:tc>
          <w:tcPr/>
          <w:p>
            <w:pPr>
              <w:pStyle w:val="Compact"/>
              <w:jc w:val="left"/>
            </w:pPr>
            <w:r>
              <w:t xml:space="preserve">Peripherals</w:t>
            </w:r>
          </w:p>
        </w:tc>
        <w:tc>
          <w:tcPr/>
          <w:p>
            <w:pPr>
              <w:pStyle w:val="Compact"/>
              <w:jc w:val="left"/>
            </w:pPr>
            <w:r>
              <w:t xml:space="preserve">$89.99</w:t>
            </w:r>
          </w:p>
        </w:tc>
        <w:tc>
          <w:tcPr/>
          <w:p>
            <w:pPr>
              <w:pStyle w:val="Compact"/>
              <w:jc w:val="left"/>
            </w:pPr>
            <w:r>
              <w:t xml:space="preserve">54</w:t>
            </w:r>
          </w:p>
        </w:tc>
        <w:tc>
          <w:tcPr/>
          <w:p>
            <w:pPr>
              <w:pStyle w:val="Compact"/>
              <w:jc w:val="left"/>
            </w:pPr>
            <w:r>
              <w:t xml:space="preserve">No</w:t>
            </w:r>
          </w:p>
        </w:tc>
        <w:tc>
          <w:tcPr/>
          <w:p>
            <w:pPr>
              <w:pStyle w:val="Compact"/>
              <w:jc w:val="left"/>
            </w:pPr>
            <w:r>
              <w:t xml:space="preserve">4.7</w:t>
            </w:r>
          </w:p>
        </w:tc>
        <w:tc>
          <w:tcPr/>
          <w:p>
            <w:pPr>
              <w:pStyle w:val="Compact"/>
              <w:jc w:val="left"/>
            </w:pPr>
            <w:r>
              <w:t xml:space="preserve">MK-2024-054</w:t>
            </w:r>
          </w:p>
        </w:tc>
      </w:tr>
      <w:tr>
        <w:tc>
          <w:tcPr/>
          <w:p>
            <w:pPr>
              <w:pStyle w:val="Compact"/>
              <w:jc w:val="left"/>
            </w:pPr>
            <w:r>
              <w:t xml:space="preserve">005</w:t>
            </w:r>
          </w:p>
        </w:tc>
        <w:tc>
          <w:tcPr/>
          <w:p>
            <w:pPr>
              <w:pStyle w:val="Compact"/>
              <w:jc w:val="left"/>
            </w:pPr>
            <w:r>
              <w:t xml:space="preserve">Webcam HD</w:t>
            </w:r>
          </w:p>
        </w:tc>
        <w:tc>
          <w:tcPr/>
          <w:p>
            <w:pPr>
              <w:pStyle w:val="Compact"/>
              <w:jc w:val="left"/>
            </w:pPr>
            <w:r>
              <w:t xml:space="preserve">Peripherals</w:t>
            </w:r>
          </w:p>
        </w:tc>
        <w:tc>
          <w:tcPr/>
          <w:p>
            <w:pPr>
              <w:pStyle w:val="Compact"/>
              <w:jc w:val="left"/>
            </w:pPr>
            <w:r>
              <w:t xml:space="preserve">$79.99</w:t>
            </w:r>
          </w:p>
        </w:tc>
        <w:tc>
          <w:tcPr/>
          <w:p>
            <w:pPr>
              <w:pStyle w:val="Compact"/>
              <w:jc w:val="left"/>
            </w:pPr>
            <w:r>
              <w:t xml:space="preserve">31</w:t>
            </w:r>
          </w:p>
        </w:tc>
        <w:tc>
          <w:tcPr/>
          <w:p>
            <w:pPr>
              <w:pStyle w:val="Compact"/>
              <w:jc w:val="left"/>
            </w:pPr>
            <w:r>
              <w:t xml:space="preserve">Yes</w:t>
            </w:r>
          </w:p>
        </w:tc>
        <w:tc>
          <w:tcPr/>
          <w:p>
            <w:pPr>
              <w:pStyle w:val="Compact"/>
              <w:jc w:val="left"/>
            </w:pPr>
            <w:r>
              <w:t xml:space="preserve">4.0</w:t>
            </w:r>
          </w:p>
        </w:tc>
        <w:tc>
          <w:tcPr/>
          <w:p>
            <w:pPr>
              <w:pStyle w:val="Compact"/>
              <w:jc w:val="left"/>
            </w:pPr>
            <w:r>
              <w:t xml:space="preserve">WH-2024-031</w:t>
            </w:r>
          </w:p>
        </w:tc>
      </w:tr>
      <w:tr>
        <w:tc>
          <w:tcPr/>
          <w:p>
            <w:pPr>
              <w:pStyle w:val="Compact"/>
              <w:jc w:val="left"/>
            </w:pPr>
            <w:r>
              <w:t xml:space="preserve">006</w:t>
            </w:r>
          </w:p>
        </w:tc>
        <w:tc>
          <w:tcPr/>
          <w:p>
            <w:pPr>
              <w:pStyle w:val="Compact"/>
              <w:jc w:val="left"/>
            </w:pPr>
            <w:r>
              <w:t xml:space="preserve">Monitor 27in</w:t>
            </w:r>
          </w:p>
        </w:tc>
        <w:tc>
          <w:tcPr/>
          <w:p>
            <w:pPr>
              <w:pStyle w:val="Compact"/>
              <w:jc w:val="left"/>
            </w:pPr>
            <w:r>
              <w:t xml:space="preserve">Displays</w:t>
            </w:r>
          </w:p>
        </w:tc>
        <w:tc>
          <w:tcPr/>
          <w:p>
            <w:pPr>
              <w:pStyle w:val="Compact"/>
              <w:jc w:val="left"/>
            </w:pPr>
            <w:r>
              <w:t xml:space="preserve">$349</w:t>
            </w:r>
          </w:p>
        </w:tc>
        <w:tc>
          <w:tcPr/>
          <w:p>
            <w:pPr>
              <w:pStyle w:val="Compact"/>
              <w:jc w:val="left"/>
            </w:pPr>
            <w:r>
              <w:t xml:space="preserve">15</w:t>
            </w:r>
          </w:p>
        </w:tc>
        <w:tc>
          <w:tcPr/>
          <w:p>
            <w:pPr>
              <w:pStyle w:val="Compact"/>
              <w:jc w:val="left"/>
            </w:pPr>
            <w:r>
              <w:t xml:space="preserve">Yes</w:t>
            </w:r>
          </w:p>
        </w:tc>
        <w:tc>
          <w:tcPr/>
          <w:p>
            <w:pPr>
              <w:pStyle w:val="Compact"/>
              <w:jc w:val="left"/>
            </w:pPr>
            <w:r>
              <w:t xml:space="preserve">4.6</w:t>
            </w:r>
          </w:p>
        </w:tc>
        <w:tc>
          <w:tcPr/>
          <w:p>
            <w:pPr>
              <w:pStyle w:val="Compact"/>
              <w:jc w:val="left"/>
            </w:pPr>
            <w:r>
              <w:t xml:space="preserve">M27-2024-015</w:t>
            </w:r>
          </w:p>
        </w:tc>
      </w:tr>
      <w:tr>
        <w:tc>
          <w:tcPr/>
          <w:p>
            <w:pPr>
              <w:pStyle w:val="Compact"/>
              <w:jc w:val="left"/>
            </w:pPr>
            <w:r>
              <w:t xml:space="preserve">007</w:t>
            </w:r>
          </w:p>
        </w:tc>
        <w:tc>
          <w:tcPr/>
          <w:p>
            <w:pPr>
              <w:pStyle w:val="Compact"/>
              <w:jc w:val="left"/>
            </w:pPr>
            <w:r>
              <w:t xml:space="preserve">SSD 1TB</w:t>
            </w:r>
          </w:p>
        </w:tc>
        <w:tc>
          <w:tcPr/>
          <w:p>
            <w:pPr>
              <w:pStyle w:val="Compact"/>
              <w:jc w:val="left"/>
            </w:pPr>
            <w:r>
              <w:t xml:space="preserve">Storage</w:t>
            </w:r>
          </w:p>
        </w:tc>
        <w:tc>
          <w:tcPr/>
          <w:p>
            <w:pPr>
              <w:pStyle w:val="Compact"/>
              <w:jc w:val="left"/>
            </w:pPr>
            <w:r>
              <w:t xml:space="preserve">$119</w:t>
            </w:r>
          </w:p>
        </w:tc>
        <w:tc>
          <w:tcPr/>
          <w:p>
            <w:pPr>
              <w:pStyle w:val="Compact"/>
              <w:jc w:val="left"/>
            </w:pPr>
            <w:r>
              <w:t xml:space="preserve">68</w:t>
            </w:r>
          </w:p>
        </w:tc>
        <w:tc>
          <w:tcPr/>
          <w:p>
            <w:pPr>
              <w:pStyle w:val="Compact"/>
              <w:jc w:val="left"/>
            </w:pPr>
            <w:r>
              <w:t xml:space="preserve">Yes</w:t>
            </w:r>
          </w:p>
        </w:tc>
        <w:tc>
          <w:tcPr/>
          <w:p>
            <w:pPr>
              <w:pStyle w:val="Compact"/>
              <w:jc w:val="left"/>
            </w:pPr>
            <w:r>
              <w:t xml:space="preserve">4.9</w:t>
            </w:r>
          </w:p>
        </w:tc>
        <w:tc>
          <w:tcPr/>
          <w:p>
            <w:pPr>
              <w:pStyle w:val="Compact"/>
              <w:jc w:val="left"/>
            </w:pPr>
            <w:r>
              <w:t xml:space="preserve">SSD-2024-068</w:t>
            </w:r>
          </w:p>
        </w:tc>
      </w:tr>
      <w:tr>
        <w:tc>
          <w:tcPr/>
          <w:p>
            <w:pPr>
              <w:pStyle w:val="Compact"/>
              <w:jc w:val="left"/>
            </w:pPr>
            <w:r>
              <w:t xml:space="preserve">008</w:t>
            </w:r>
          </w:p>
        </w:tc>
        <w:tc>
          <w:tcPr/>
          <w:p>
            <w:pPr>
              <w:pStyle w:val="Compact"/>
              <w:jc w:val="left"/>
            </w:pPr>
            <w:r>
              <w:t xml:space="preserve">RAM 32GB</w:t>
            </w:r>
          </w:p>
        </w:tc>
        <w:tc>
          <w:tcPr/>
          <w:p>
            <w:pPr>
              <w:pStyle w:val="Compact"/>
              <w:jc w:val="left"/>
            </w:pPr>
            <w:r>
              <w:t xml:space="preserve">Components</w:t>
            </w:r>
          </w:p>
        </w:tc>
        <w:tc>
          <w:tcPr/>
          <w:p>
            <w:pPr>
              <w:pStyle w:val="Compact"/>
              <w:jc w:val="left"/>
            </w:pPr>
            <w:r>
              <w:t xml:space="preserve">$89</w:t>
            </w:r>
          </w:p>
        </w:tc>
        <w:tc>
          <w:tcPr/>
          <w:p>
            <w:pPr>
              <w:pStyle w:val="Compact"/>
              <w:jc w:val="left"/>
            </w:pPr>
            <w:r>
              <w:t xml:space="preserve">42</w:t>
            </w:r>
          </w:p>
        </w:tc>
        <w:tc>
          <w:tcPr/>
          <w:p>
            <w:pPr>
              <w:pStyle w:val="Compact"/>
              <w:jc w:val="left"/>
            </w:pPr>
            <w:r>
              <w:t xml:space="preserve">No</w:t>
            </w:r>
          </w:p>
        </w:tc>
        <w:tc>
          <w:tcPr/>
          <w:p>
            <w:pPr>
              <w:pStyle w:val="Compact"/>
              <w:jc w:val="left"/>
            </w:pPr>
            <w:r>
              <w:t xml:space="preserve">4.3</w:t>
            </w:r>
          </w:p>
        </w:tc>
        <w:tc>
          <w:tcPr/>
          <w:p>
            <w:pPr>
              <w:pStyle w:val="Compact"/>
              <w:jc w:val="left"/>
            </w:pPr>
            <w:r>
              <w:t xml:space="preserve">RAM-2024-042</w:t>
            </w:r>
          </w:p>
        </w:tc>
      </w:tr>
    </w:tbl>
    <w:bookmarkEnd w:id="24"/>
    <w:bookmarkStart w:id="27" w:name="large-data-table"/>
    <w:p>
      <w:pPr>
        <w:pStyle w:val="Heading2"/>
      </w:pPr>
      <w:r>
        <w:t xml:space="preserve">Large Data Table</w:t>
      </w:r>
    </w:p>
    <w:bookmarkStart w:id="25" w:name="quarterly-sales-report"/>
    <w:p>
      <w:pPr>
        <w:pStyle w:val="Heading3"/>
      </w:pPr>
      <w:r>
        <w:t xml:space="preserve">Quarterly Sales Report</w:t>
      </w:r>
    </w:p>
    <w:tbl>
      <w:tblPr>
        <w:tblStyle w:val="TableNormal"/>
        <w:tblW w:type="pct" w:w="5000"/>
        <w:tblLook w:firstRow="1" w:lastRow="0" w:firstColumn="0" w:lastColumn="0" w:noHBand="0" w:noVBand="0" w:val="0020"/>
        <w:jc w:val="start"/>
        <w:tblLayout w:type="autofi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5"/>
        <w:gridCol w:w="1285"/>
        <w:gridCol w:w="1285"/>
        <w:gridCol w:w="1285"/>
        <w:gridCol w:w="1285"/>
        <w:gridCol w:w="1285"/>
        <w:gridCol w:w="1285"/>
      </w:tblGrid>
      <w:tr>
        <w:trPr>
          <w:tblHeader w:val="true"/>
        </w:trPr>
        <w:tc>
          <w:tcPr/>
          <w:p>
            <w:pPr>
              <w:pStyle w:val="Compact"/>
              <w:jc w:val="left"/>
            </w:pPr>
            <w:r>
              <w:t xml:space="preserve">Region</w:t>
            </w:r>
          </w:p>
        </w:tc>
        <w:tc>
          <w:tcPr/>
          <w:p>
            <w:pPr>
              <w:pStyle w:val="Compact"/>
              <w:jc w:val="left"/>
            </w:pPr>
            <w:r>
              <w:t xml:space="preserve">Q1 2024</w:t>
            </w:r>
          </w:p>
        </w:tc>
        <w:tc>
          <w:tcPr/>
          <w:p>
            <w:pPr>
              <w:pStyle w:val="Compact"/>
              <w:jc w:val="left"/>
            </w:pPr>
            <w:r>
              <w:t xml:space="preserve">Q2 2024</w:t>
            </w:r>
          </w:p>
        </w:tc>
        <w:tc>
          <w:tcPr/>
          <w:p>
            <w:pPr>
              <w:pStyle w:val="Compact"/>
              <w:jc w:val="left"/>
            </w:pPr>
            <w:r>
              <w:t xml:space="preserve">Q3 2024</w:t>
            </w:r>
          </w:p>
        </w:tc>
        <w:tc>
          <w:tcPr/>
          <w:p>
            <w:pPr>
              <w:pStyle w:val="Compact"/>
              <w:jc w:val="left"/>
            </w:pPr>
            <w:r>
              <w:t xml:space="preserve">Q4 2024</w:t>
            </w:r>
          </w:p>
        </w:tc>
        <w:tc>
          <w:tcPr/>
          <w:p>
            <w:pPr>
              <w:pStyle w:val="Compact"/>
              <w:jc w:val="left"/>
            </w:pPr>
            <w:r>
              <w:t xml:space="preserve">Total</w:t>
            </w:r>
          </w:p>
        </w:tc>
        <w:tc>
          <w:tcPr/>
          <w:p>
            <w:pPr>
              <w:pStyle w:val="Compact"/>
              <w:jc w:val="left"/>
            </w:pPr>
            <w:r>
              <w:t xml:space="preserve">YoY Growth</w:t>
            </w:r>
          </w:p>
        </w:tc>
      </w:tr>
      <w:tr>
        <w:tc>
          <w:tcPr/>
          <w:p>
            <w:pPr>
              <w:pStyle w:val="Compact"/>
              <w:jc w:val="left"/>
            </w:pPr>
            <w:r>
              <w:t xml:space="preserve">North America</w:t>
            </w:r>
          </w:p>
        </w:tc>
        <w:tc>
          <w:tcPr/>
          <w:p>
            <w:pPr>
              <w:pStyle w:val="Compact"/>
              <w:jc w:val="left"/>
            </w:pPr>
            <w:r>
              <w:t xml:space="preserve">$1,234,567</w:t>
            </w:r>
          </w:p>
        </w:tc>
        <w:tc>
          <w:tcPr/>
          <w:p>
            <w:pPr>
              <w:pStyle w:val="Compact"/>
              <w:jc w:val="left"/>
            </w:pPr>
            <w:r>
              <w:t xml:space="preserve">$1,345,678</w:t>
            </w:r>
          </w:p>
        </w:tc>
        <w:tc>
          <w:tcPr/>
          <w:p>
            <w:pPr>
              <w:pStyle w:val="Compact"/>
              <w:jc w:val="left"/>
            </w:pPr>
            <w:r>
              <w:t xml:space="preserve">$1,456,789</w:t>
            </w:r>
          </w:p>
        </w:tc>
        <w:tc>
          <w:tcPr/>
          <w:p>
            <w:pPr>
              <w:pStyle w:val="Compact"/>
              <w:jc w:val="left"/>
            </w:pPr>
            <w:r>
              <w:t xml:space="preserve">$1,567,890</w:t>
            </w:r>
          </w:p>
        </w:tc>
        <w:tc>
          <w:tcPr/>
          <w:p>
            <w:pPr>
              <w:pStyle w:val="Compact"/>
              <w:jc w:val="left"/>
            </w:pPr>
            <w:r>
              <w:t xml:space="preserve">$5,604,924</w:t>
            </w:r>
          </w:p>
        </w:tc>
        <w:tc>
          <w:tcPr/>
          <w:p>
            <w:pPr>
              <w:pStyle w:val="Compact"/>
              <w:jc w:val="left"/>
            </w:pPr>
            <w:r>
              <w:t xml:space="preserve">+12.3%</w:t>
            </w:r>
          </w:p>
        </w:tc>
      </w:tr>
      <w:tr>
        <w:tc>
          <w:tcPr/>
          <w:p>
            <w:pPr>
              <w:pStyle w:val="Compact"/>
              <w:jc w:val="left"/>
            </w:pPr>
            <w:r>
              <w:t xml:space="preserve">Europe</w:t>
            </w:r>
          </w:p>
        </w:tc>
        <w:tc>
          <w:tcPr/>
          <w:p>
            <w:pPr>
              <w:pStyle w:val="Compact"/>
              <w:jc w:val="left"/>
            </w:pPr>
            <w:r>
              <w:t xml:space="preserve">$987,654</w:t>
            </w:r>
          </w:p>
        </w:tc>
        <w:tc>
          <w:tcPr/>
          <w:p>
            <w:pPr>
              <w:pStyle w:val="Compact"/>
              <w:jc w:val="left"/>
            </w:pPr>
            <w:r>
              <w:t xml:space="preserve">$1,098,765</w:t>
            </w:r>
          </w:p>
        </w:tc>
        <w:tc>
          <w:tcPr/>
          <w:p>
            <w:pPr>
              <w:pStyle w:val="Compact"/>
              <w:jc w:val="left"/>
            </w:pPr>
            <w:r>
              <w:t xml:space="preserve">$1,109,876</w:t>
            </w:r>
          </w:p>
        </w:tc>
        <w:tc>
          <w:tcPr/>
          <w:p>
            <w:pPr>
              <w:pStyle w:val="Compact"/>
              <w:jc w:val="left"/>
            </w:pPr>
            <w:r>
              <w:t xml:space="preserve">$1,210,987</w:t>
            </w:r>
          </w:p>
        </w:tc>
        <w:tc>
          <w:tcPr/>
          <w:p>
            <w:pPr>
              <w:pStyle w:val="Compact"/>
              <w:jc w:val="left"/>
            </w:pPr>
            <w:r>
              <w:t xml:space="preserve">$4,407,282</w:t>
            </w:r>
          </w:p>
        </w:tc>
        <w:tc>
          <w:tcPr/>
          <w:p>
            <w:pPr>
              <w:pStyle w:val="Compact"/>
              <w:jc w:val="left"/>
            </w:pPr>
            <w:r>
              <w:t xml:space="preserve">+8.7%</w:t>
            </w:r>
          </w:p>
        </w:tc>
      </w:tr>
      <w:tr>
        <w:tc>
          <w:tcPr/>
          <w:p>
            <w:pPr>
              <w:pStyle w:val="Compact"/>
              <w:jc w:val="left"/>
            </w:pPr>
            <w:r>
              <w:t xml:space="preserve">Asia-Pacific</w:t>
            </w:r>
          </w:p>
        </w:tc>
        <w:tc>
          <w:tcPr/>
          <w:p>
            <w:pPr>
              <w:pStyle w:val="Compact"/>
              <w:jc w:val="left"/>
            </w:pPr>
            <w:r>
              <w:t xml:space="preserve">$1,456,789</w:t>
            </w:r>
          </w:p>
        </w:tc>
        <w:tc>
          <w:tcPr/>
          <w:p>
            <w:pPr>
              <w:pStyle w:val="Compact"/>
              <w:jc w:val="left"/>
            </w:pPr>
            <w:r>
              <w:t xml:space="preserve">$1,567,890</w:t>
            </w:r>
          </w:p>
        </w:tc>
        <w:tc>
          <w:tcPr/>
          <w:p>
            <w:pPr>
              <w:pStyle w:val="Compact"/>
              <w:jc w:val="left"/>
            </w:pPr>
            <w:r>
              <w:t xml:space="preserve">$1,678,901</w:t>
            </w:r>
          </w:p>
        </w:tc>
        <w:tc>
          <w:tcPr/>
          <w:p>
            <w:pPr>
              <w:pStyle w:val="Compact"/>
              <w:jc w:val="left"/>
            </w:pPr>
            <w:r>
              <w:t xml:space="preserve">$1,789,012</w:t>
            </w:r>
          </w:p>
        </w:tc>
        <w:tc>
          <w:tcPr/>
          <w:p>
            <w:pPr>
              <w:pStyle w:val="Compact"/>
              <w:jc w:val="left"/>
            </w:pPr>
            <w:r>
              <w:t xml:space="preserve">$6,492,592</w:t>
            </w:r>
          </w:p>
        </w:tc>
        <w:tc>
          <w:tcPr/>
          <w:p>
            <w:pPr>
              <w:pStyle w:val="Compact"/>
              <w:jc w:val="left"/>
            </w:pPr>
            <w:r>
              <w:t xml:space="preserve">+15.2%</w:t>
            </w:r>
          </w:p>
        </w:tc>
      </w:tr>
      <w:tr>
        <w:tc>
          <w:tcPr/>
          <w:p>
            <w:pPr>
              <w:pStyle w:val="Compact"/>
              <w:jc w:val="left"/>
            </w:pPr>
            <w:r>
              <w:t xml:space="preserve">Latin America</w:t>
            </w:r>
          </w:p>
        </w:tc>
        <w:tc>
          <w:tcPr/>
          <w:p>
            <w:pPr>
              <w:pStyle w:val="Compact"/>
              <w:jc w:val="left"/>
            </w:pPr>
            <w:r>
              <w:t xml:space="preserve">$345,678</w:t>
            </w:r>
          </w:p>
        </w:tc>
        <w:tc>
          <w:tcPr/>
          <w:p>
            <w:pPr>
              <w:pStyle w:val="Compact"/>
              <w:jc w:val="left"/>
            </w:pPr>
            <w:r>
              <w:t xml:space="preserve">$456,789</w:t>
            </w:r>
          </w:p>
        </w:tc>
        <w:tc>
          <w:tcPr/>
          <w:p>
            <w:pPr>
              <w:pStyle w:val="Compact"/>
              <w:jc w:val="left"/>
            </w:pPr>
            <w:r>
              <w:t xml:space="preserve">$567,890</w:t>
            </w:r>
          </w:p>
        </w:tc>
        <w:tc>
          <w:tcPr/>
          <w:p>
            <w:pPr>
              <w:pStyle w:val="Compact"/>
              <w:jc w:val="left"/>
            </w:pPr>
            <w:r>
              <w:t xml:space="preserve">$678,901</w:t>
            </w:r>
          </w:p>
        </w:tc>
        <w:tc>
          <w:tcPr/>
          <w:p>
            <w:pPr>
              <w:pStyle w:val="Compact"/>
              <w:jc w:val="left"/>
            </w:pPr>
            <w:r>
              <w:t xml:space="preserve">$2,049,258</w:t>
            </w:r>
          </w:p>
        </w:tc>
        <w:tc>
          <w:tcPr/>
          <w:p>
            <w:pPr>
              <w:pStyle w:val="Compact"/>
              <w:jc w:val="left"/>
            </w:pPr>
            <w:r>
              <w:t xml:space="preserve">+22.1%</w:t>
            </w:r>
          </w:p>
        </w:tc>
      </w:tr>
      <w:tr>
        <w:tc>
          <w:tcPr/>
          <w:p>
            <w:pPr>
              <w:pStyle w:val="Compact"/>
              <w:jc w:val="left"/>
            </w:pPr>
            <w:r>
              <w:t xml:space="preserve">Middle East</w:t>
            </w:r>
          </w:p>
        </w:tc>
        <w:tc>
          <w:tcPr/>
          <w:p>
            <w:pPr>
              <w:pStyle w:val="Compact"/>
              <w:jc w:val="left"/>
            </w:pPr>
            <w:r>
              <w:t xml:space="preserve">$234,567</w:t>
            </w:r>
          </w:p>
        </w:tc>
        <w:tc>
          <w:tcPr/>
          <w:p>
            <w:pPr>
              <w:pStyle w:val="Compact"/>
              <w:jc w:val="left"/>
            </w:pPr>
            <w:r>
              <w:t xml:space="preserve">$345,678</w:t>
            </w:r>
          </w:p>
        </w:tc>
        <w:tc>
          <w:tcPr/>
          <w:p>
            <w:pPr>
              <w:pStyle w:val="Compact"/>
              <w:jc w:val="left"/>
            </w:pPr>
            <w:r>
              <w:t xml:space="preserve">$456,789</w:t>
            </w:r>
          </w:p>
        </w:tc>
        <w:tc>
          <w:tcPr/>
          <w:p>
            <w:pPr>
              <w:pStyle w:val="Compact"/>
              <w:jc w:val="left"/>
            </w:pPr>
            <w:r>
              <w:t xml:space="preserve">$567,890</w:t>
            </w:r>
          </w:p>
        </w:tc>
        <w:tc>
          <w:tcPr/>
          <w:p>
            <w:pPr>
              <w:pStyle w:val="Compact"/>
              <w:jc w:val="left"/>
            </w:pPr>
            <w:r>
              <w:t xml:space="preserve">$1,604,924</w:t>
            </w:r>
          </w:p>
        </w:tc>
        <w:tc>
          <w:tcPr/>
          <w:p>
            <w:pPr>
              <w:pStyle w:val="Compact"/>
              <w:jc w:val="left"/>
            </w:pPr>
            <w:r>
              <w:t xml:space="preserve">+18.5%</w:t>
            </w:r>
          </w:p>
        </w:tc>
      </w:tr>
      <w:tr>
        <w:tc>
          <w:tcPr/>
          <w:p>
            <w:pPr>
              <w:pStyle w:val="Compact"/>
              <w:jc w:val="left"/>
            </w:pPr>
            <w:r>
              <w:t xml:space="preserve">Africa</w:t>
            </w:r>
          </w:p>
        </w:tc>
        <w:tc>
          <w:tcPr/>
          <w:p>
            <w:pPr>
              <w:pStyle w:val="Compact"/>
              <w:jc w:val="left"/>
            </w:pPr>
            <w:r>
              <w:t xml:space="preserve">$123,456</w:t>
            </w:r>
          </w:p>
        </w:tc>
        <w:tc>
          <w:tcPr/>
          <w:p>
            <w:pPr>
              <w:pStyle w:val="Compact"/>
              <w:jc w:val="left"/>
            </w:pPr>
            <w:r>
              <w:t xml:space="preserve">$234,567</w:t>
            </w:r>
          </w:p>
        </w:tc>
        <w:tc>
          <w:tcPr/>
          <w:p>
            <w:pPr>
              <w:pStyle w:val="Compact"/>
              <w:jc w:val="left"/>
            </w:pPr>
            <w:r>
              <w:t xml:space="preserve">$345,678</w:t>
            </w:r>
          </w:p>
        </w:tc>
        <w:tc>
          <w:tcPr/>
          <w:p>
            <w:pPr>
              <w:pStyle w:val="Compact"/>
              <w:jc w:val="left"/>
            </w:pPr>
            <w:r>
              <w:t xml:space="preserve">$456,789</w:t>
            </w:r>
          </w:p>
        </w:tc>
        <w:tc>
          <w:tcPr/>
          <w:p>
            <w:pPr>
              <w:pStyle w:val="Compact"/>
              <w:jc w:val="left"/>
            </w:pPr>
            <w:r>
              <w:t xml:space="preserve">$1,160,490</w:t>
            </w:r>
          </w:p>
        </w:tc>
        <w:tc>
          <w:tcPr/>
          <w:p>
            <w:pPr>
              <w:pStyle w:val="Compact"/>
              <w:jc w:val="left"/>
            </w:pPr>
            <w:r>
              <w:t xml:space="preserve">+31.4%</w:t>
            </w:r>
          </w:p>
        </w:tc>
      </w:tr>
      <w:tr>
        <w:tc>
          <w:tcPr/>
          <w:p>
            <w:pPr>
              <w:pStyle w:val="Compact"/>
              <w:jc w:val="left"/>
            </w:pPr>
            <w:r>
              <w:rPr>
                <w:bCs/>
                <w:b/>
              </w:rPr>
              <w:t xml:space="preserve">Total</w:t>
            </w:r>
          </w:p>
        </w:tc>
        <w:tc>
          <w:tcPr/>
          <w:p>
            <w:pPr>
              <w:pStyle w:val="Compact"/>
              <w:jc w:val="left"/>
            </w:pPr>
            <w:r>
              <w:rPr>
                <w:bCs/>
                <w:b/>
              </w:rPr>
              <w:t xml:space="preserve">$4,382,711</w:t>
            </w:r>
          </w:p>
        </w:tc>
        <w:tc>
          <w:tcPr/>
          <w:p>
            <w:pPr>
              <w:pStyle w:val="Compact"/>
              <w:jc w:val="left"/>
            </w:pPr>
            <w:r>
              <w:rPr>
                <w:bCs/>
                <w:b/>
              </w:rPr>
              <w:t xml:space="preserve">$5,049,367</w:t>
            </w:r>
          </w:p>
        </w:tc>
        <w:tc>
          <w:tcPr/>
          <w:p>
            <w:pPr>
              <w:pStyle w:val="Compact"/>
              <w:jc w:val="left"/>
            </w:pPr>
            <w:r>
              <w:rPr>
                <w:bCs/>
                <w:b/>
              </w:rPr>
              <w:t xml:space="preserve">$5,615,923</w:t>
            </w:r>
          </w:p>
        </w:tc>
        <w:tc>
          <w:tcPr/>
          <w:p>
            <w:pPr>
              <w:pStyle w:val="Compact"/>
              <w:jc w:val="left"/>
            </w:pPr>
            <w:r>
              <w:rPr>
                <w:bCs/>
                <w:b/>
              </w:rPr>
              <w:t xml:space="preserve">$6,271,469</w:t>
            </w:r>
          </w:p>
        </w:tc>
        <w:tc>
          <w:tcPr/>
          <w:p>
            <w:pPr>
              <w:pStyle w:val="Compact"/>
              <w:jc w:val="left"/>
            </w:pPr>
            <w:r>
              <w:rPr>
                <w:bCs/>
                <w:b/>
              </w:rPr>
              <w:t xml:space="preserve">$21,319,470</w:t>
            </w:r>
          </w:p>
        </w:tc>
        <w:tc>
          <w:tcPr/>
          <w:p>
            <w:pPr>
              <w:pStyle w:val="Compact"/>
              <w:jc w:val="left"/>
            </w:pPr>
            <w:r>
              <w:rPr>
                <w:bCs/>
                <w:b/>
              </w:rPr>
              <w:t xml:space="preserve">+14.6%</w:t>
            </w:r>
          </w:p>
        </w:tc>
      </w:tr>
    </w:tbl>
    <w:bookmarkEnd w:id="25"/>
    <w:bookmarkStart w:id="26" w:name="product-comparison"/>
    <w:p>
      <w:pPr>
        <w:pStyle w:val="Heading3"/>
      </w:pPr>
      <w:r>
        <w:t xml:space="preserve">Product Comparison</w:t>
      </w:r>
    </w:p>
    <w:tbl>
      <w:tblPr>
        <w:tblStyle w:val="TableNormal"/>
        <w:tblW w:type="pct" w:w="5000"/>
        <w:tblLook w:firstRow="1" w:lastRow="0" w:firstColumn="0" w:lastColumn="0" w:noHBand="0" w:noVBand="0" w:val="0020"/>
        <w:jc w:val="start"/>
        <w:tblLayout w:type="autofi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50"/>
        <w:gridCol w:w="2250"/>
        <w:gridCol w:w="2250"/>
        <w:gridCol w:w="2250"/>
      </w:tblGrid>
      <w:tr>
        <w:trPr>
          <w:tblHeader w:val="true"/>
        </w:trPr>
        <w:tc>
          <w:tcPr/>
          <w:p>
            <w:pPr>
              <w:pStyle w:val="Compact"/>
              <w:jc w:val="left"/>
            </w:pPr>
            <w:r>
              <w:t xml:space="preserve">Feature</w:t>
            </w:r>
          </w:p>
        </w:tc>
        <w:tc>
          <w:tcPr/>
          <w:p>
            <w:pPr>
              <w:pStyle w:val="Compact"/>
              <w:jc w:val="left"/>
            </w:pPr>
            <w:r>
              <w:t xml:space="preserve">Free Tier</w:t>
            </w:r>
          </w:p>
        </w:tc>
        <w:tc>
          <w:tcPr/>
          <w:p>
            <w:pPr>
              <w:pStyle w:val="Compact"/>
              <w:jc w:val="left"/>
            </w:pPr>
            <w:r>
              <w:t xml:space="preserve">Pro Tier</w:t>
            </w:r>
          </w:p>
        </w:tc>
        <w:tc>
          <w:tcPr/>
          <w:p>
            <w:pPr>
              <w:pStyle w:val="Compact"/>
              <w:jc w:val="left"/>
            </w:pPr>
            <w:r>
              <w:t xml:space="preserve">Enterprise Tier</w:t>
            </w:r>
          </w:p>
        </w:tc>
      </w:tr>
      <w:tr>
        <w:tc>
          <w:tcPr/>
          <w:p>
            <w:pPr>
              <w:pStyle w:val="Compact"/>
              <w:jc w:val="left"/>
            </w:pPr>
            <w:r>
              <w:t xml:space="preserve">Users</w:t>
            </w:r>
          </w:p>
        </w:tc>
        <w:tc>
          <w:tcPr/>
          <w:p>
            <w:pPr>
              <w:pStyle w:val="Compact"/>
              <w:jc w:val="left"/>
            </w:pPr>
            <w:r>
              <w:t xml:space="preserve">1</w:t>
            </w:r>
          </w:p>
        </w:tc>
        <w:tc>
          <w:tcPr/>
          <w:p>
            <w:pPr>
              <w:pStyle w:val="Compact"/>
              <w:jc w:val="left"/>
            </w:pPr>
            <w:r>
              <w:t xml:space="preserve">10</w:t>
            </w:r>
          </w:p>
        </w:tc>
        <w:tc>
          <w:tcPr/>
          <w:p>
            <w:pPr>
              <w:pStyle w:val="Compact"/>
              <w:jc w:val="left"/>
            </w:pPr>
            <w:r>
              <w:t xml:space="preserve">Unlimited</w:t>
            </w:r>
          </w:p>
        </w:tc>
      </w:tr>
      <w:tr>
        <w:tc>
          <w:tcPr/>
          <w:p>
            <w:pPr>
              <w:pStyle w:val="Compact"/>
              <w:jc w:val="left"/>
            </w:pPr>
            <w:r>
              <w:t xml:space="preserve">Storage</w:t>
            </w:r>
          </w:p>
        </w:tc>
        <w:tc>
          <w:tcPr/>
          <w:p>
            <w:pPr>
              <w:pStyle w:val="Compact"/>
              <w:jc w:val="left"/>
            </w:pPr>
            <w:r>
              <w:t xml:space="preserve">5 GB</w:t>
            </w:r>
          </w:p>
        </w:tc>
        <w:tc>
          <w:tcPr/>
          <w:p>
            <w:pPr>
              <w:pStyle w:val="Compact"/>
              <w:jc w:val="left"/>
            </w:pPr>
            <w:r>
              <w:t xml:space="preserve">50 GB</w:t>
            </w:r>
          </w:p>
        </w:tc>
        <w:tc>
          <w:tcPr/>
          <w:p>
            <w:pPr>
              <w:pStyle w:val="Compact"/>
              <w:jc w:val="left"/>
            </w:pPr>
            <w:r>
              <w:t xml:space="preserve">1 TB</w:t>
            </w:r>
          </w:p>
        </w:tc>
      </w:tr>
      <w:tr>
        <w:tc>
          <w:tcPr/>
          <w:p>
            <w:pPr>
              <w:pStyle w:val="Compact"/>
              <w:jc w:val="left"/>
            </w:pPr>
            <w:r>
              <w:t xml:space="preserve">API Access</w:t>
            </w:r>
          </w:p>
        </w:tc>
        <w:tc>
          <w:tcPr/>
          <w:p>
            <w:pPr>
              <w:pStyle w:val="Compact"/>
              <w:jc w:val="left"/>
            </w:pPr>
            <w:r>
              <w:t xml:space="preserve">No</w:t>
            </w:r>
          </w:p>
        </w:tc>
        <w:tc>
          <w:tcPr/>
          <w:p>
            <w:pPr>
              <w:pStyle w:val="Compact"/>
              <w:jc w:val="left"/>
            </w:pPr>
            <w:r>
              <w:t xml:space="preserve">Yes (1k/day)</w:t>
            </w:r>
          </w:p>
        </w:tc>
        <w:tc>
          <w:tcPr/>
          <w:p>
            <w:pPr>
              <w:pStyle w:val="Compact"/>
              <w:jc w:val="left"/>
            </w:pPr>
            <w:r>
              <w:t xml:space="preserve">Yes (Unlimited)</w:t>
            </w:r>
          </w:p>
        </w:tc>
      </w:tr>
      <w:tr>
        <w:tc>
          <w:tcPr/>
          <w:p>
            <w:pPr>
              <w:pStyle w:val="Compact"/>
              <w:jc w:val="left"/>
            </w:pPr>
            <w:r>
              <w:t xml:space="preserve">Support</w:t>
            </w:r>
          </w:p>
        </w:tc>
        <w:tc>
          <w:tcPr/>
          <w:p>
            <w:pPr>
              <w:pStyle w:val="Compact"/>
              <w:jc w:val="left"/>
            </w:pPr>
            <w:r>
              <w:t xml:space="preserve">Community</w:t>
            </w:r>
          </w:p>
        </w:tc>
        <w:tc>
          <w:tcPr/>
          <w:p>
            <w:pPr>
              <w:pStyle w:val="Compact"/>
              <w:jc w:val="left"/>
            </w:pPr>
            <w:r>
              <w:t xml:space="preserve">Email</w:t>
            </w:r>
          </w:p>
        </w:tc>
        <w:tc>
          <w:tcPr/>
          <w:p>
            <w:pPr>
              <w:pStyle w:val="Compact"/>
              <w:jc w:val="left"/>
            </w:pPr>
            <w:r>
              <w:t xml:space="preserve">24/7 Phone</w:t>
            </w:r>
          </w:p>
        </w:tc>
      </w:tr>
      <w:tr>
        <w:tc>
          <w:tcPr/>
          <w:p>
            <w:pPr>
              <w:pStyle w:val="Compact"/>
              <w:jc w:val="left"/>
            </w:pPr>
            <w:r>
              <w:t xml:space="preserve">Custom Branding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SLA</w:t>
            </w:r>
          </w:p>
        </w:tc>
        <w:tc>
          <w:tcPr/>
          <w:p>
            <w:pPr>
              <w:pStyle w:val="Compact"/>
              <w:jc w:val="left"/>
            </w:pPr>
            <w:r>
              <w:t xml:space="preserve">None</w:t>
            </w:r>
          </w:p>
        </w:tc>
        <w:tc>
          <w:tcPr/>
          <w:p>
            <w:pPr>
              <w:pStyle w:val="Compact"/>
              <w:jc w:val="left"/>
            </w:pPr>
            <w:r>
              <w:t xml:space="preserve">99.9%</w:t>
            </w:r>
          </w:p>
        </w:tc>
        <w:tc>
          <w:tcPr/>
          <w:p>
            <w:pPr>
              <w:pStyle w:val="Compact"/>
              <w:jc w:val="left"/>
            </w:pPr>
            <w:r>
              <w:t xml:space="preserve">99.99%</w:t>
            </w:r>
          </w:p>
        </w:tc>
      </w:tr>
      <w:tr>
        <w:tc>
          <w:tcPr/>
          <w:p>
            <w:pPr>
              <w:pStyle w:val="Compact"/>
              <w:jc w:val="left"/>
            </w:pPr>
            <w:r>
              <w:t xml:space="preserve">Audit Logs</w:t>
            </w:r>
          </w:p>
        </w:tc>
        <w:tc>
          <w:tcPr/>
          <w:p>
            <w:pPr>
              <w:pStyle w:val="Compact"/>
              <w:jc w:val="left"/>
            </w:pPr>
            <w:r>
              <w:t xml:space="preserve">No</w:t>
            </w:r>
          </w:p>
        </w:tc>
        <w:tc>
          <w:tcPr/>
          <w:p>
            <w:pPr>
              <w:pStyle w:val="Compact"/>
              <w:jc w:val="left"/>
            </w:pPr>
            <w:r>
              <w:t xml:space="preserve">30 days</w:t>
            </w:r>
          </w:p>
        </w:tc>
        <w:tc>
          <w:tcPr/>
          <w:p>
            <w:pPr>
              <w:pStyle w:val="Compact"/>
              <w:jc w:val="left"/>
            </w:pPr>
            <w:r>
              <w:t xml:space="preserve">7 years</w:t>
            </w:r>
          </w:p>
        </w:tc>
      </w:tr>
      <w:tr>
        <w:tc>
          <w:tcPr/>
          <w:p>
            <w:pPr>
              <w:pStyle w:val="Compact"/>
              <w:jc w:val="left"/>
            </w:pPr>
            <w:r>
              <w:t xml:space="preserve">SSO/SAML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Data Export</w:t>
            </w:r>
          </w:p>
        </w:tc>
        <w:tc>
          <w:tcPr/>
          <w:p>
            <w:pPr>
              <w:pStyle w:val="Compact"/>
              <w:jc w:val="left"/>
            </w:pPr>
            <w:r>
              <w:t xml:space="preserve">CSV</w:t>
            </w:r>
          </w:p>
        </w:tc>
        <w:tc>
          <w:tcPr/>
          <w:p>
            <w:pPr>
              <w:pStyle w:val="Compact"/>
              <w:jc w:val="left"/>
            </w:pPr>
            <w:r>
              <w:t xml:space="preserve">CSV, JSON, XML</w:t>
            </w:r>
          </w:p>
        </w:tc>
        <w:tc>
          <w:tcPr/>
          <w:p>
            <w:pPr>
              <w:pStyle w:val="Compact"/>
              <w:jc w:val="left"/>
            </w:pPr>
            <w:r>
              <w:t xml:space="preserve">CSV, JSON, XML, API</w:t>
            </w:r>
          </w:p>
        </w:tc>
      </w:tr>
      <w:tr>
        <w:tc>
          <w:tcPr/>
          <w:p>
            <w:pPr>
              <w:pStyle w:val="Compact"/>
              <w:jc w:val="left"/>
            </w:pPr>
            <w:r>
              <w:t xml:space="preserve">Price</w:t>
            </w:r>
          </w:p>
        </w:tc>
        <w:tc>
          <w:tcPr/>
          <w:p>
            <w:pPr>
              <w:pStyle w:val="Compact"/>
              <w:jc w:val="left"/>
            </w:pPr>
            <w:r>
              <w:t xml:space="preserve">Free</w:t>
            </w:r>
          </w:p>
        </w:tc>
        <w:tc>
          <w:tcPr/>
          <w:p>
            <w:pPr>
              <w:pStyle w:val="Compact"/>
              <w:jc w:val="left"/>
            </w:pPr>
            <w:r>
              <w:t xml:space="preserve">$29/user/mo</w:t>
            </w:r>
          </w:p>
        </w:tc>
        <w:tc>
          <w:tcPr/>
          <w:p>
            <w:pPr>
              <w:pStyle w:val="Compact"/>
              <w:jc w:val="left"/>
            </w:pPr>
            <w:r>
              <w:t xml:space="preserve">Custom</w:t>
            </w:r>
          </w:p>
        </w:tc>
      </w:tr>
    </w:tbl>
    <w:bookmarkEnd w:id="26"/>
    <w:bookmarkEnd w:id="27"/>
    <w:bookmarkEnd w:id="28"/>
    <w:bookmarkStart w:id="46" w:name="text-lists"/>
    <w:p>
      <w:pPr>
        <w:pStyle w:val="Heading1"/>
        <w:pageBreakBefore/>
      </w:pPr>
      <w:r>
        <w:t xml:space="preserve">Text &amp; Lists</w:t>
      </w:r>
    </w:p>
    <w:bookmarkStart w:id="29" w:name="text-formatting"/>
    <w:p>
      <w:pPr>
        <w:pStyle w:val="Heading2"/>
      </w:pPr>
      <w:r>
        <w:t xml:space="preserve">Text Formatting</w:t>
      </w:r>
    </w:p>
    <w:p>
      <w:pPr>
        <w:pStyle w:val="FirstParagraph"/>
      </w:pPr>
      <w:r>
        <w:rPr>
          <w:bCs/>
          <w:b/>
        </w:rPr>
        <w:t xml:space="preserve">Bold text</w:t>
      </w:r>
      <w:r>
        <w:t xml:space="preserve">,</w:t>
      </w:r>
      <w:r>
        <w:t xml:space="preserve"> </w:t>
      </w:r>
      <w:r>
        <w:rPr>
          <w:iCs/>
          <w:i/>
        </w:rPr>
        <w:t xml:space="preserve">italic text</w:t>
      </w:r>
      <w:r>
        <w:t xml:space="preserve">,</w:t>
      </w:r>
      <w:r>
        <w:t xml:space="preserve"> </w:t>
      </w:r>
      <w:r>
        <w:rPr>
          <w:strike/>
        </w:rPr>
        <w:t xml:space="preserve">strikethrough</w:t>
      </w:r>
      <w:r>
        <w:t xml:space="preserve">,</w:t>
      </w:r>
      <w:r>
        <w:t xml:space="preserve"> </w:t>
      </w:r>
      <w:r>
        <w:rPr>
          <w:rStyle w:val="VerbatimChar"/>
        </w:rPr>
        <w:t xml:space="preserve">inline code</w:t>
      </w:r>
      <w:r>
        <w:t xml:space="preserve">, and</w:t>
      </w:r>
      <w:r>
        <w:t xml:space="preserve"> </w:t>
      </w:r>
      <w:r>
        <w:rPr>
          <w:bCs/>
          <w:b/>
        </w:rPr>
        <w:t xml:space="preserve">bold with</w:t>
      </w:r>
      <w:r>
        <w:rPr>
          <w:bCs/>
          <w:b/>
        </w:rPr>
        <w:t xml:space="preserve"> </w:t>
      </w:r>
      <w:r>
        <w:rPr>
          <w:iCs/>
          <w:i/>
          <w:bCs/>
          <w:b/>
        </w:rPr>
        <w:t xml:space="preserve">nested italic</w:t>
      </w:r>
      <w:r>
        <w:t xml:space="preserve">.</w:t>
      </w:r>
    </w:p>
    <w:bookmarkEnd w:id="29"/>
    <w:bookmarkStart w:id="30" w:name="blockquotes"/>
    <w:p>
      <w:pPr>
        <w:pStyle w:val="Heading2"/>
      </w:pPr>
      <w:r>
        <w:t xml:space="preserve">Blockquotes</w:t>
      </w:r>
    </w:p>
    <w:p>
      <w:pPr>
        <w:pStyle w:val="BlockText"/>
      </w:pPr>
      <w:r>
        <w:t xml:space="preserve">This is a blockquote demonstrating how quoted text is rendered.</w:t>
      </w:r>
    </w:p>
    <w:p>
      <w:pPr>
        <w:pStyle w:val="BlockText"/>
      </w:pPr>
      <w:r>
        <w:t xml:space="preserve">Nested blockquotes are also supported for multi-level citations.</w:t>
      </w:r>
    </w:p>
    <w:p>
      <w:pPr>
        <w:pStyle w:val="BlockText"/>
      </w:pPr>
      <w:r>
        <w:t xml:space="preserve">— Source attribution</w:t>
      </w:r>
    </w:p>
    <w:bookmarkEnd w:id="30"/>
    <w:bookmarkStart w:id="34" w:name="lists"/>
    <w:p>
      <w:pPr>
        <w:pStyle w:val="Heading2"/>
      </w:pPr>
      <w:r>
        <w:t xml:space="preserve">Lists</w:t>
      </w:r>
    </w:p>
    <w:bookmarkStart w:id="31" w:name="unordered-list"/>
    <w:p>
      <w:pPr>
        <w:pStyle w:val="Heading3"/>
      </w:pPr>
      <w:r>
        <w:t xml:space="preserve">Unordered List</w:t>
      </w:r>
    </w:p>
    <w:p>
      <w:pPr>
        <w:numPr>
          <w:ilvl w:val="0"/>
          <w:numId w:val="1001"/>
        </w:numPr>
        <w:pStyle w:val="Compact"/>
      </w:pPr>
      <w:r>
        <w:t xml:space="preserve">Level 1 item</w:t>
      </w:r>
    </w:p>
    <w:p>
      <w:pPr>
        <w:numPr>
          <w:ilvl w:val="1"/>
          <w:numId w:val="1002"/>
        </w:numPr>
        <w:pStyle w:val="Compact"/>
      </w:pPr>
      <w:r>
        <w:t xml:space="preserve">Level 2 item</w:t>
      </w:r>
    </w:p>
    <w:p>
      <w:pPr>
        <w:numPr>
          <w:ilvl w:val="2"/>
          <w:numId w:val="1003"/>
        </w:numPr>
        <w:pStyle w:val="Compact"/>
      </w:pPr>
      <w:r>
        <w:t xml:space="preserve">Level 3 item</w:t>
      </w:r>
    </w:p>
    <w:p>
      <w:pPr>
        <w:numPr>
          <w:ilvl w:val="1"/>
          <w:numId w:val="1002"/>
        </w:numPr>
        <w:pStyle w:val="Compact"/>
      </w:pPr>
      <w:r>
        <w:t xml:space="preserve">Another level 2</w:t>
      </w:r>
    </w:p>
    <w:p>
      <w:pPr>
        <w:numPr>
          <w:ilvl w:val="0"/>
          <w:numId w:val="1001"/>
        </w:numPr>
        <w:pStyle w:val="Compact"/>
      </w:pPr>
      <w:r>
        <w:t xml:space="preserve">Back to level 1</w:t>
      </w:r>
    </w:p>
    <w:bookmarkEnd w:id="31"/>
    <w:bookmarkStart w:id="32" w:name="ordered-list"/>
    <w:p>
      <w:pPr>
        <w:pStyle w:val="Heading3"/>
      </w:pPr>
      <w:r>
        <w:t xml:space="preserve">Ordered List</w:t>
      </w:r>
    </w:p>
    <w:p>
      <w:pPr>
        <w:numPr>
          <w:ilvl w:val="0"/>
          <w:numId w:val="1004"/>
        </w:numPr>
        <w:pStyle w:val="Compact"/>
      </w:pPr>
      <w:r>
        <w:t xml:space="preserve">First step</w:t>
      </w:r>
    </w:p>
    <w:p>
      <w:pPr>
        <w:numPr>
          <w:ilvl w:val="0"/>
          <w:numId w:val="1004"/>
        </w:numPr>
        <w:pStyle w:val="Compact"/>
      </w:pPr>
      <w:r>
        <w:t xml:space="preserve">Second step</w:t>
      </w:r>
    </w:p>
    <w:p>
      <w:pPr>
        <w:numPr>
          <w:ilvl w:val="1"/>
          <w:numId w:val="1005"/>
        </w:numPr>
        <w:pStyle w:val="Compact"/>
      </w:pPr>
      <w:r>
        <w:t xml:space="preserve">Sub-step A</w:t>
      </w:r>
    </w:p>
    <w:p>
      <w:pPr>
        <w:numPr>
          <w:ilvl w:val="1"/>
          <w:numId w:val="1005"/>
        </w:numPr>
        <w:pStyle w:val="Compact"/>
      </w:pPr>
      <w:r>
        <w:t xml:space="preserve">Sub-step B</w:t>
      </w:r>
    </w:p>
    <w:p>
      <w:pPr>
        <w:numPr>
          <w:ilvl w:val="0"/>
          <w:numId w:val="1004"/>
        </w:numPr>
        <w:pStyle w:val="Compact"/>
      </w:pPr>
      <w:r>
        <w:t xml:space="preserve">Third step</w:t>
      </w:r>
    </w:p>
    <w:bookmarkEnd w:id="32"/>
    <w:bookmarkStart w:id="33" w:name="mixed-list"/>
    <w:p>
      <w:pPr>
        <w:pStyle w:val="Heading3"/>
      </w:pPr>
      <w:r>
        <w:t xml:space="preserve">Mixed List</w:t>
      </w:r>
    </w:p>
    <w:p>
      <w:pPr>
        <w:numPr>
          <w:ilvl w:val="0"/>
          <w:numId w:val="1006"/>
        </w:numPr>
        <w:pStyle w:val="Compact"/>
      </w:pPr>
      <w:r>
        <w:rPr>
          <w:bCs/>
          <w:b/>
        </w:rPr>
        <w:t xml:space="preserve">Planning</w:t>
      </w:r>
      <w:r>
        <w:t xml:space="preserve"> </w:t>
      </w:r>
      <w:r>
        <w:t xml:space="preserve">— define scope and requirements</w:t>
      </w:r>
    </w:p>
    <w:p>
      <w:pPr>
        <w:numPr>
          <w:ilvl w:val="1"/>
          <w:numId w:val="1007"/>
        </w:numPr>
        <w:pStyle w:val="Compact"/>
      </w:pPr>
      <w:r>
        <w:t xml:space="preserve">Gather stakeholder input</w:t>
      </w:r>
    </w:p>
    <w:p>
      <w:pPr>
        <w:numPr>
          <w:ilvl w:val="1"/>
          <w:numId w:val="1007"/>
        </w:numPr>
        <w:pStyle w:val="Compact"/>
      </w:pPr>
      <w:r>
        <w:t xml:space="preserve">Create project timeline</w:t>
      </w:r>
    </w:p>
    <w:p>
      <w:pPr>
        <w:numPr>
          <w:ilvl w:val="1"/>
          <w:numId w:val="1007"/>
        </w:numPr>
        <w:pStyle w:val="Compact"/>
      </w:pPr>
      <w:r>
        <w:t xml:space="preserve">Identify risks and mitigations</w:t>
      </w:r>
    </w:p>
    <w:p>
      <w:pPr>
        <w:numPr>
          <w:ilvl w:val="0"/>
          <w:numId w:val="1006"/>
        </w:numPr>
        <w:pStyle w:val="Compact"/>
      </w:pPr>
      <w:r>
        <w:rPr>
          <w:bCs/>
          <w:b/>
        </w:rPr>
        <w:t xml:space="preserve">Execution</w:t>
      </w:r>
      <w:r>
        <w:t xml:space="preserve"> </w:t>
      </w:r>
      <w:r>
        <w:t xml:space="preserve">— implement the solution</w:t>
      </w:r>
    </w:p>
    <w:p>
      <w:pPr>
        <w:numPr>
          <w:ilvl w:val="1"/>
          <w:numId w:val="1008"/>
        </w:numPr>
        <w:pStyle w:val="Compact"/>
      </w:pPr>
      <w:r>
        <w:t xml:space="preserve">Setup: configure environment and tooling</w:t>
      </w:r>
    </w:p>
    <w:p>
      <w:pPr>
        <w:numPr>
          <w:ilvl w:val="1"/>
          <w:numId w:val="1008"/>
        </w:numPr>
        <w:pStyle w:val="Compact"/>
      </w:pPr>
      <w:r>
        <w:t xml:space="preserve">Build: develop core features</w:t>
      </w:r>
    </w:p>
    <w:p>
      <w:pPr>
        <w:numPr>
          <w:ilvl w:val="1"/>
          <w:numId w:val="1008"/>
        </w:numPr>
        <w:pStyle w:val="Compact"/>
      </w:pPr>
      <w:r>
        <w:t xml:space="preserve">Test: validate against requirements</w:t>
      </w:r>
    </w:p>
    <w:p>
      <w:pPr>
        <w:numPr>
          <w:ilvl w:val="0"/>
          <w:numId w:val="1006"/>
        </w:numPr>
        <w:pStyle w:val="Compact"/>
      </w:pPr>
      <w:r>
        <w:rPr>
          <w:bCs/>
          <w:b/>
        </w:rPr>
        <w:t xml:space="preserve">Review</w:t>
      </w:r>
      <w:r>
        <w:t xml:space="preserve"> </w:t>
      </w:r>
      <w:r>
        <w:t xml:space="preserve">— gather feedback and iterate</w:t>
      </w:r>
    </w:p>
    <w:p>
      <w:pPr>
        <w:numPr>
          <w:ilvl w:val="1"/>
          <w:numId w:val="1009"/>
        </w:numPr>
        <w:pStyle w:val="Compact"/>
      </w:pPr>
      <w:r>
        <w:t xml:space="preserve">Internal review</w:t>
      </w:r>
    </w:p>
    <w:p>
      <w:pPr>
        <w:numPr>
          <w:ilvl w:val="1"/>
          <w:numId w:val="1009"/>
        </w:numPr>
        <w:pStyle w:val="Compact"/>
      </w:pPr>
      <w:r>
        <w:t xml:space="preserve">Client review</w:t>
      </w:r>
    </w:p>
    <w:p>
      <w:pPr>
        <w:numPr>
          <w:ilvl w:val="1"/>
          <w:numId w:val="1009"/>
        </w:numPr>
        <w:pStyle w:val="Compact"/>
      </w:pPr>
      <w:r>
        <w:t xml:space="preserve">Final adjustments</w:t>
      </w:r>
    </w:p>
    <w:bookmarkEnd w:id="33"/>
    <w:bookmarkEnd w:id="34"/>
    <w:bookmarkStart w:id="35" w:name="definition-list"/>
    <w:p>
      <w:pPr>
        <w:pStyle w:val="Heading2"/>
      </w:pPr>
      <w:r>
        <w:t xml:space="preserve">Definition List</w:t>
      </w:r>
    </w:p>
    <w:p>
      <w:pPr>
        <w:pStyle w:val="DefinitionTerm"/>
      </w:pPr>
      <w:r>
        <w:t xml:space="preserve">Term A</w:t>
      </w:r>
    </w:p>
    <w:p>
      <w:pPr>
        <w:pStyle w:val="Definition"/>
      </w:pPr>
      <w:r>
        <w:t xml:space="preserve">Definition for term A, which spans multiple lines to show how descriptions are formatted in the PDF output.</w:t>
      </w:r>
    </w:p>
    <w:p>
      <w:pPr>
        <w:pStyle w:val="DefinitionTerm"/>
      </w:pPr>
      <w:r>
        <w:t xml:space="preserve">Term B</w:t>
      </w:r>
    </w:p>
    <w:p>
      <w:pPr>
        <w:pStyle w:val="Definition"/>
      </w:pPr>
      <w:r>
        <w:t xml:space="preserve">Definition for term B.</w:t>
      </w:r>
    </w:p>
    <w:p>
      <w:pPr>
        <w:pStyle w:val="DefinitionTerm"/>
      </w:pPr>
      <w:r>
        <w:t xml:space="preserve">Term C</w:t>
      </w:r>
    </w:p>
    <w:p>
      <w:pPr>
        <w:pStyle w:val="Definition"/>
      </w:pPr>
      <w:r>
        <w:t xml:space="preserve">Definition for term C with</w:t>
      </w:r>
      <w:r>
        <w:t xml:space="preserve"> </w:t>
      </w:r>
      <w:r>
        <w:rPr>
          <w:bCs/>
          <w:b/>
        </w:rPr>
        <w:t xml:space="preserve">inline formatting</w:t>
      </w:r>
      <w:r>
        <w:t xml:space="preserve"> </w:t>
      </w:r>
      <w:r>
        <w:t xml:space="preserve">and</w:t>
      </w:r>
      <w:r>
        <w:t xml:space="preserve"> </w:t>
      </w:r>
      <w:r>
        <w:rPr>
          <w:rStyle w:val="VerbatimChar"/>
        </w:rPr>
        <w:t xml:space="preserve">code</w:t>
      </w:r>
      <w:r>
        <w:t xml:space="preserve"> </w:t>
      </w:r>
      <w:r>
        <w:t xml:space="preserve">elements.</w:t>
      </w:r>
    </w:p>
    <w:bookmarkEnd w:id="35"/>
    <w:bookmarkStart w:id="38" w:name="footnotes"/>
    <w:p>
      <w:pPr>
        <w:pStyle w:val="Heading2"/>
      </w:pPr>
      <w:r>
        <w:t xml:space="preserve">Footnotes</w:t>
      </w:r>
    </w:p>
    <w:p>
      <w:pPr>
        <w:pStyle w:val="FirstParagraph"/>
      </w:pPr>
      <w:r>
        <w:t xml:space="preserve">This sentence has a footnote.</w:t>
      </w:r>
      <w:r>
        <w:rPr>
          <w:rStyle w:val="FootnoteReference"/>
        </w:rPr>
        <w:footnoteReference w:id="36"/>
      </w:r>
      <w:r>
        <w:t xml:space="preserve"> </w:t>
      </w:r>
      <w:r>
        <w:t xml:space="preserve">And this one has another.</w:t>
      </w:r>
      <w:r>
        <w:rPr>
          <w:rStyle w:val="FootnoteReference"/>
        </w:rPr>
        <w:footnoteReference w:id="37"/>
      </w:r>
    </w:p>
    <w:bookmarkEnd w:id="38"/>
    <w:bookmarkStart w:id="39" w:name="task-list"/>
    <w:p>
      <w:pPr>
        <w:pStyle w:val="Heading2"/>
      </w:pPr>
      <w:r>
        <w:t xml:space="preserve">Task List</w:t>
      </w:r>
    </w:p>
    <w:p>
      <w:pPr>
        <w:numPr>
          <w:ilvl w:val="0"/>
          <w:numId w:val="1010"/>
        </w:numPr>
        <w:pStyle w:val="Compact"/>
      </w:pPr>
      <w:r>
        <w:t xml:space="preserve">☒ Research PDF conversion approaches</w:t>
      </w:r>
    </w:p>
    <w:p>
      <w:pPr>
        <w:numPr>
          <w:ilvl w:val="0"/>
          <w:numId w:val="1010"/>
        </w:numPr>
        <w:pStyle w:val="Compact"/>
      </w:pPr>
      <w:r>
        <w:t xml:space="preserve">☒ Build Pandoc + LibreOffice pipeline</w:t>
      </w:r>
    </w:p>
    <w:p>
      <w:pPr>
        <w:numPr>
          <w:ilvl w:val="0"/>
          <w:numId w:val="1010"/>
        </w:numPr>
        <w:pStyle w:val="Compact"/>
      </w:pPr>
      <w:r>
        <w:t xml:space="preserve">☒ Implement DOCX post-processing fixes</w:t>
      </w:r>
    </w:p>
    <w:p>
      <w:pPr>
        <w:numPr>
          <w:ilvl w:val="0"/>
          <w:numId w:val="1010"/>
        </w:numPr>
        <w:pStyle w:val="Compact"/>
      </w:pPr>
      <w:r>
        <w:t xml:space="preserve">☐ Add custom template support</w:t>
      </w:r>
    </w:p>
    <w:p>
      <w:pPr>
        <w:numPr>
          <w:ilvl w:val="0"/>
          <w:numId w:val="1010"/>
        </w:numPr>
        <w:pStyle w:val="Compact"/>
      </w:pPr>
      <w:r>
        <w:t xml:space="preserve">☐ Add image embedding optimization</w:t>
      </w:r>
    </w:p>
    <w:p>
      <w:pPr>
        <w:numPr>
          <w:ilvl w:val="0"/>
          <w:numId w:val="1010"/>
        </w:numPr>
        <w:pStyle w:val="Compact"/>
      </w:pPr>
      <w:r>
        <w:t xml:space="preserve">☐ Publish to GitHub Marketplace</w:t>
      </w:r>
    </w:p>
    <w:bookmarkEnd w:id="39"/>
    <w:bookmarkStart w:id="43" w:name="links-and-images"/>
    <w:p>
      <w:pPr>
        <w:pStyle w:val="Heading2"/>
      </w:pPr>
      <w:r>
        <w:t xml:space="preserve">Links and Images</w:t>
      </w:r>
    </w:p>
    <w:p>
      <w:pPr>
        <w:numPr>
          <w:ilvl w:val="0"/>
          <w:numId w:val="1011"/>
        </w:numPr>
        <w:pStyle w:val="Compact"/>
      </w:pPr>
      <w:hyperlink r:id="rId40">
        <w:r>
          <w:rPr>
            <w:rStyle w:val="Hyperlink"/>
          </w:rPr>
          <w:t xml:space="preserve">GitHub Actions Documentation</w:t>
        </w:r>
      </w:hyperlink>
    </w:p>
    <w:p>
      <w:pPr>
        <w:numPr>
          <w:ilvl w:val="0"/>
          <w:numId w:val="1011"/>
        </w:numPr>
        <w:pStyle w:val="Compact"/>
      </w:pPr>
      <w:hyperlink r:id="rId41">
        <w:r>
          <w:rPr>
            <w:rStyle w:val="Hyperlink"/>
          </w:rPr>
          <w:t xml:space="preserve">Pandoc User’s Guide</w:t>
        </w:r>
      </w:hyperlink>
    </w:p>
    <w:p>
      <w:pPr>
        <w:numPr>
          <w:ilvl w:val="0"/>
          <w:numId w:val="1011"/>
        </w:numPr>
        <w:pStyle w:val="Compact"/>
      </w:pPr>
      <w:hyperlink r:id="rId42">
        <w:r>
          <w:rPr>
            <w:rStyle w:val="Hyperlink"/>
          </w:rPr>
          <w:t xml:space="preserve">LibreOffice</w:t>
        </w:r>
      </w:hyperlink>
    </w:p>
    <w:bookmarkEnd w:id="43"/>
    <w:bookmarkStart w:id="44" w:name="horizontal-rules"/>
    <w:p>
      <w:pPr>
        <w:pStyle w:val="Heading2"/>
      </w:pPr>
      <w:r>
        <w:t xml:space="preserve">Horizontal Rules</w:t>
      </w:r>
    </w:p>
    <w:p>
      <w:pPr>
        <w:pStyle w:val="FirstParagraph"/>
      </w:pPr>
      <w:r>
        <w:t xml:space="preserve">Above the rule.</w:t>
      </w:r>
    </w:p>
    <w:p>
      <w:pPr>
        <w:pStyle w:val="BodyText"/>
      </w:pPr>
      <w:r>
        <w:t xml:space="preserve">Below the rule.</w:t>
      </w:r>
    </w:p>
    <w:bookmarkEnd w:id="44"/>
    <w:bookmarkStart w:id="45" w:name="text-with-special-characters"/>
    <w:p>
      <w:pPr>
        <w:pStyle w:val="Heading2"/>
      </w:pPr>
      <w:r>
        <w:t xml:space="preserve">Text with Special Characters</w:t>
      </w:r>
    </w:p>
    <w:p>
      <w:pPr>
        <w:pStyle w:val="FirstParagraph"/>
      </w:pPr>
      <w:r>
        <w:t xml:space="preserve">Mathematical notation: a² + b² = c², H₂O, x₁, x₂, … xₙ</w:t>
      </w:r>
    </w:p>
    <w:p>
      <w:pPr>
        <w:pStyle w:val="BodyText"/>
      </w:pPr>
      <w:r>
        <w:t xml:space="preserve">Em dashes — and en dashes – with proper spacing.</w:t>
      </w:r>
    </w:p>
    <w:p>
      <w:pPr>
        <w:pStyle w:val="BodyText"/>
      </w:pPr>
      <w:r>
        <w:t xml:space="preserve">“</w:t>
      </w:r>
      <w:r>
        <w:t xml:space="preserve">Smart quotes</w:t>
      </w:r>
      <w:r>
        <w:t xml:space="preserve">”</w:t>
      </w:r>
      <w:r>
        <w:t xml:space="preserve"> </w:t>
      </w:r>
      <w:r>
        <w:t xml:space="preserve">and</w:t>
      </w:r>
      <w:r>
        <w:t xml:space="preserve"> </w:t>
      </w:r>
      <w:r>
        <w:t xml:space="preserve">‘</w:t>
      </w:r>
      <w:r>
        <w:t xml:space="preserve">single quotes</w:t>
      </w:r>
      <w:r>
        <w:t xml:space="preserve">’</w:t>
      </w:r>
      <w:r>
        <w:t xml:space="preserve"> </w:t>
      </w:r>
      <w:r>
        <w:t xml:space="preserve">should render as curly quotes in the PDF.</w:t>
      </w:r>
    </w:p>
    <w:p>
      <w:pPr>
        <w:pStyle w:val="BodyText"/>
      </w:pPr>
      <w:r>
        <w:t xml:space="preserve">Copyright © 2024, registered ®, trademark ™.</w:t>
      </w:r>
    </w:p>
    <w:bookmarkEnd w:id="45"/>
    <w:bookmarkEnd w:id="46"/>
    <w:bookmarkStart w:id="50" w:name="code-blocks"/>
    <w:p>
      <w:pPr>
        <w:pStyle w:val="Heading1"/>
        <w:pageBreakBefore/>
      </w:pPr>
      <w:r>
        <w:t xml:space="preserve">Code Blocks</w:t>
      </w:r>
    </w:p>
    <w:bookmarkStart w:id="47" w:name="python"/>
    <w:p>
      <w:pPr>
        <w:pStyle w:val="Heading2"/>
      </w:pPr>
      <w:r>
        <w:t xml:space="preserve">Python</w:t>
      </w:r>
    </w:p>
    <w:p>
      <w:pPr>
        <w:pStyle w:val="SourceCode"/>
      </w:pPr>
      <w:r>
        <w:rPr>
          <w:rStyle w:val="ImportTok"/>
        </w:rPr>
        <w:t xml:space="preserve">import</w:t>
      </w:r>
      <w:r>
        <w:rPr>
          <w:rStyle w:val="NormalTok"/>
        </w:rPr>
        <w:t xml:space="preserve"> zipfile</w:t>
      </w:r>
      <w:r>
        <w:br/>
      </w:r>
      <w:r>
        <w:rPr>
          <w:rStyle w:val="ImportTok"/>
        </w:rPr>
        <w:t xml:space="preserve">from</w:t>
      </w:r>
      <w:r>
        <w:rPr>
          <w:rStyle w:val="NormalTok"/>
        </w:rPr>
        <w:t xml:space="preserve"> xml.etree </w:t>
      </w:r>
      <w:r>
        <w:rPr>
          <w:rStyle w:val="ImportTok"/>
        </w:rPr>
        <w:t xml:space="preserve">import</w:t>
      </w:r>
      <w:r>
        <w:rPr>
          <w:rStyle w:val="NormalTok"/>
        </w:rPr>
        <w:t xml:space="preserve"> ElementTree </w:t>
      </w:r>
      <w:r>
        <w:rPr>
          <w:rStyle w:val="ImportTok"/>
        </w:rPr>
        <w:t xml:space="preserve">as</w:t>
      </w:r>
      <w:r>
        <w:rPr>
          <w:rStyle w:val="NormalTok"/>
        </w:rPr>
        <w:t xml:space="preserve"> ET</w:t>
      </w:r>
      <w:r>
        <w:br/>
      </w:r>
      <w:r>
        <w:br/>
      </w:r>
      <w:r>
        <w:rPr>
          <w:rStyle w:val="KeywordTok"/>
        </w:rPr>
        <w:t xml:space="preserve">def</w:t>
      </w:r>
      <w:r>
        <w:rPr>
          <w:rStyle w:val="NormalTok"/>
        </w:rPr>
        <w:t xml:space="preserve"> fix_table_widths(docx_path: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with</w:t>
      </w:r>
      <w:r>
        <w:rPr>
          <w:rStyle w:val="NormalTok"/>
        </w:rPr>
        <w:t xml:space="preserve"> zipfile.ZipFile(docx_path) </w:t>
      </w:r>
      <w:r>
        <w:rPr>
          <w:rStyle w:val="ImportTok"/>
        </w:rPr>
        <w:t xml:space="preserve">as</w:t>
      </w:r>
      <w:r>
        <w:rPr>
          <w:rStyle w:val="NormalTok"/>
        </w:rPr>
        <w:t xml:space="preserve"> z:</w:t>
      </w:r>
      <w:r>
        <w:br/>
      </w:r>
      <w:r>
        <w:rPr>
          <w:rStyle w:val="NormalTok"/>
        </w:rPr>
        <w:t xml:space="preserve">        data </w:t>
      </w:r>
      <w:r>
        <w:rPr>
          <w:rStyle w:val="OperatorTok"/>
        </w:rPr>
        <w:t xml:space="preserve">=</w:t>
      </w:r>
      <w:r>
        <w:rPr>
          <w:rStyle w:val="NormalTok"/>
        </w:rPr>
        <w:t xml:space="preserve"> z.read(</w:t>
      </w:r>
      <w:r>
        <w:rPr>
          <w:rStyle w:val="StringTok"/>
        </w:rPr>
        <w:t xml:space="preserve">"word/document.xml"</w:t>
      </w:r>
      <w:r>
        <w:rPr>
          <w:rStyle w:val="NormalTok"/>
        </w:rPr>
        <w:t xml:space="preserve">)</w:t>
      </w:r>
      <w:r>
        <w:br/>
      </w:r>
      <w:r>
        <w:rPr>
          <w:rStyle w:val="NormalTok"/>
        </w:rPr>
        <w:t xml:space="preserve">        root </w:t>
      </w:r>
      <w:r>
        <w:rPr>
          <w:rStyle w:val="OperatorTok"/>
        </w:rPr>
        <w:t xml:space="preserve">=</w:t>
      </w:r>
      <w:r>
        <w:rPr>
          <w:rStyle w:val="NormalTok"/>
        </w:rPr>
        <w:t xml:space="preserve"> ET.fromstring(data)</w:t>
      </w:r>
      <w:r>
        <w:br/>
      </w:r>
      <w:r>
        <w:rPr>
          <w:rStyle w:val="NormalTok"/>
        </w:rPr>
        <w:t xml:space="preserve">        </w:t>
      </w:r>
      <w:r>
        <w:rPr>
          <w:rStyle w:val="CommentTok"/>
        </w:rPr>
        <w:t xml:space="preserve"># Convert fixed width to percentage-based</w:t>
      </w:r>
      <w:r>
        <w:br/>
      </w:r>
      <w:r>
        <w:rPr>
          <w:rStyle w:val="NormalTok"/>
        </w:rPr>
        <w:t xml:space="preserve">        </w:t>
      </w:r>
      <w:r>
        <w:rPr>
          <w:rStyle w:val="ControlFlowTok"/>
        </w:rPr>
        <w:t xml:space="preserve">for</w:t>
      </w:r>
      <w:r>
        <w:rPr>
          <w:rStyle w:val="NormalTok"/>
        </w:rPr>
        <w:t xml:space="preserve"> tbl </w:t>
      </w:r>
      <w:r>
        <w:rPr>
          <w:rStyle w:val="KeywordTok"/>
        </w:rPr>
        <w:t xml:space="preserve">in</w:t>
      </w:r>
      <w:r>
        <w:rPr>
          <w:rStyle w:val="NormalTok"/>
        </w:rPr>
        <w:t xml:space="preserve"> root.</w:t>
      </w:r>
      <w:r>
        <w:rPr>
          <w:rStyle w:val="BuiltInTok"/>
        </w:rPr>
        <w:t xml:space="preserve">iter</w:t>
      </w:r>
      <w:r>
        <w:rPr>
          <w:rStyle w:val="NormalTok"/>
        </w:rPr>
        <w:t xml:space="preserve">(</w:t>
      </w:r>
      <w:r>
        <w:rPr>
          <w:rStyle w:val="StringTok"/>
        </w:rPr>
        <w:t xml:space="preserve">"{http://schemas...}tbl"</w:t>
      </w:r>
      <w:r>
        <w:rPr>
          <w:rStyle w:val="NormalTok"/>
        </w:rPr>
        <w:t xml:space="preserve">):</w:t>
      </w:r>
      <w:r>
        <w:br/>
      </w:r>
      <w:r>
        <w:rPr>
          <w:rStyle w:val="NormalTok"/>
        </w:rPr>
        <w:t xml:space="preserve">            tblW </w:t>
      </w:r>
      <w:r>
        <w:rPr>
          <w:rStyle w:val="OperatorTok"/>
        </w:rPr>
        <w:t xml:space="preserve">=</w:t>
      </w:r>
      <w:r>
        <w:rPr>
          <w:rStyle w:val="NormalTok"/>
        </w:rPr>
        <w:t xml:space="preserve"> tbl.find(</w:t>
      </w:r>
      <w:r>
        <w:rPr>
          <w:rStyle w:val="StringTok"/>
        </w:rPr>
        <w:t xml:space="preserve">"{http://schemas...}tblPr/tblW"</w:t>
      </w:r>
      <w:r>
        <w:rPr>
          <w:rStyle w:val="NormalTok"/>
        </w:rPr>
        <w:t xml:space="preserve">)</w:t>
      </w:r>
      <w:r>
        <w:br/>
      </w:r>
      <w:r>
        <w:rPr>
          <w:rStyle w:val="NormalTok"/>
        </w:rPr>
        <w:t xml:space="preserve">            </w:t>
      </w:r>
      <w:r>
        <w:rPr>
          <w:rStyle w:val="ControlFlowTok"/>
        </w:rPr>
        <w:t xml:space="preserve">if</w:t>
      </w:r>
      <w:r>
        <w:rPr>
          <w:rStyle w:val="NormalTok"/>
        </w:rPr>
        <w:t xml:space="preserve"> tblW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tblW.</w:t>
      </w:r>
      <w:r>
        <w:rPr>
          <w:rStyle w:val="BuiltInTok"/>
        </w:rPr>
        <w:t xml:space="preserve">set</w:t>
      </w:r>
      <w:r>
        <w:rPr>
          <w:rStyle w:val="NormalTok"/>
        </w:rPr>
        <w:t xml:space="preserve">(</w:t>
      </w:r>
      <w:r>
        <w:rPr>
          <w:rStyle w:val="StringTok"/>
        </w:rPr>
        <w:t xml:space="preserve">"w:type"</w:t>
      </w:r>
      <w:r>
        <w:rPr>
          <w:rStyle w:val="NormalTok"/>
        </w:rPr>
        <w:t xml:space="preserve">, </w:t>
      </w:r>
      <w:r>
        <w:rPr>
          <w:rStyle w:val="StringTok"/>
        </w:rPr>
        <w:t xml:space="preserve">"pct"</w:t>
      </w:r>
      <w:r>
        <w:rPr>
          <w:rStyle w:val="NormalTok"/>
        </w:rPr>
        <w:t xml:space="preserve">)</w:t>
      </w:r>
      <w:r>
        <w:br/>
      </w:r>
      <w:r>
        <w:rPr>
          <w:rStyle w:val="NormalTok"/>
        </w:rPr>
        <w:t xml:space="preserve">                tblW.</w:t>
      </w:r>
      <w:r>
        <w:rPr>
          <w:rStyle w:val="BuiltInTok"/>
        </w:rPr>
        <w:t xml:space="preserve">set</w:t>
      </w:r>
      <w:r>
        <w:rPr>
          <w:rStyle w:val="NormalTok"/>
        </w:rPr>
        <w:t xml:space="preserve">(</w:t>
      </w:r>
      <w:r>
        <w:rPr>
          <w:rStyle w:val="StringTok"/>
        </w:rPr>
        <w:t xml:space="preserve">"w:w"</w:t>
      </w:r>
      <w:r>
        <w:rPr>
          <w:rStyle w:val="NormalTok"/>
        </w:rPr>
        <w:t xml:space="preserve">, </w:t>
      </w:r>
      <w:r>
        <w:rPr>
          <w:rStyle w:val="StringTok"/>
        </w:rPr>
        <w:t xml:space="preserve">"5000"</w:t>
      </w:r>
      <w:r>
        <w:rPr>
          <w:rStyle w:val="NormalTok"/>
        </w:rPr>
        <w:t xml:space="preserve">)</w:t>
      </w:r>
    </w:p>
    <w:bookmarkEnd w:id="47"/>
    <w:bookmarkStart w:id="48" w:name="javascript"/>
    <w:p>
      <w:pPr>
        <w:pStyle w:val="Heading2"/>
      </w:pPr>
      <w:r>
        <w:t xml:space="preserve">JavaScript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convertMarkdownToPDF</w:t>
      </w:r>
      <w:r>
        <w:rPr>
          <w:rStyle w:val="NormalTok"/>
        </w:rPr>
        <w:t xml:space="preserve">(markdownPath</w:t>
      </w:r>
      <w:r>
        <w:rPr>
          <w:rStyle w:val="OperatorTok"/>
        </w:rPr>
        <w:t xml:space="preserve">,</w:t>
      </w:r>
      <w:r>
        <w:rPr>
          <w:rStyle w:val="NormalTok"/>
        </w:rPr>
        <w:t xml:space="preserve"> pdfPath) {</w:t>
      </w:r>
      <w:r>
        <w:br/>
      </w:r>
      <w:r>
        <w:rPr>
          <w:rStyle w:val="NormalTok"/>
        </w:rPr>
        <w:t xml:space="preserve">  </w:t>
      </w:r>
      <w:r>
        <w:rPr>
          <w:rStyle w:val="KeywordTok"/>
        </w:rPr>
        <w:t xml:space="preserve">const</w:t>
      </w:r>
      <w:r>
        <w:rPr>
          <w:rStyle w:val="NormalTok"/>
        </w:rPr>
        <w:t xml:space="preserve"> docx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pandocConvert</w:t>
      </w:r>
      <w:r>
        <w:rPr>
          <w:rStyle w:val="NormalTok"/>
        </w:rPr>
        <w:t xml:space="preserve">(markdownPath)</w:t>
      </w:r>
      <w:r>
        <w:rPr>
          <w:rStyle w:val="OperatorTok"/>
        </w:rPr>
        <w:t xml:space="preserve">;</w:t>
      </w:r>
      <w:r>
        <w:br/>
      </w:r>
      <w:r>
        <w:rPr>
          <w:rStyle w:val="NormalTok"/>
        </w:rPr>
        <w:t xml:space="preserve">  </w:t>
      </w:r>
      <w:r>
        <w:rPr>
          <w:rStyle w:val="KeywordTok"/>
        </w:rPr>
        <w:t xml:space="preserve">const</w:t>
      </w:r>
      <w:r>
        <w:rPr>
          <w:rStyle w:val="NormalTok"/>
        </w:rPr>
        <w:t xml:space="preserve"> fixed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fixDocxTables</w:t>
      </w:r>
      <w:r>
        <w:rPr>
          <w:rStyle w:val="NormalTok"/>
        </w:rPr>
        <w:t xml:space="preserve">(docx)</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libreofficeConvert</w:t>
      </w:r>
      <w:r>
        <w:rPr>
          <w:rStyle w:val="NormalTok"/>
        </w:rPr>
        <w:t xml:space="preserve">(fixed</w:t>
      </w:r>
      <w:r>
        <w:rPr>
          <w:rStyle w:val="OperatorTok"/>
        </w:rPr>
        <w:t xml:space="preserve">,</w:t>
      </w:r>
      <w:r>
        <w:rPr>
          <w:rStyle w:val="NormalTok"/>
        </w:rPr>
        <w:t xml:space="preserve"> pdfPath)</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`PDF generated: </w:t>
      </w:r>
      <w:r>
        <w:rPr>
          <w:rStyle w:val="SpecialCharTok"/>
        </w:rPr>
        <w:t xml:space="preserve">${</w:t>
      </w:r>
      <w:r>
        <w:rPr>
          <w:rStyle w:val="NormalTok"/>
        </w:rPr>
        <w:t xml:space="preserve">pdfPath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p>
    <w:bookmarkEnd w:id="48"/>
    <w:bookmarkStart w:id="49" w:name="diff"/>
    <w:p>
      <w:pPr>
        <w:pStyle w:val="Heading2"/>
      </w:pPr>
      <w:r>
        <w:t xml:space="preserve">Diff</w:t>
      </w:r>
    </w:p>
    <w:p>
      <w:pPr>
        <w:pStyle w:val="SourceCode"/>
      </w:pPr>
      <w:r>
        <w:rPr>
          <w:rStyle w:val="StringTok"/>
        </w:rPr>
        <w:t xml:space="preserve">- tblW.set("w:type", "dxa")</w:t>
      </w:r>
      <w:r>
        <w:br/>
      </w:r>
      <w:r>
        <w:rPr>
          <w:rStyle w:val="VariableTok"/>
        </w:rPr>
        <w:t xml:space="preserve">+ tblW.set("w:type", "pct")</w:t>
      </w:r>
      <w:r>
        <w:br/>
      </w:r>
      <w:r>
        <w:rPr>
          <w:rStyle w:val="StringTok"/>
        </w:rPr>
        <w:t xml:space="preserve">- tblW.set("w:w", "5000")</w:t>
      </w:r>
      <w:r>
        <w:br/>
      </w:r>
      <w:r>
        <w:rPr>
          <w:rStyle w:val="VariableTok"/>
        </w:rPr>
        <w:t xml:space="preserve">+ tblW.set("w:w", "5000")</w:t>
      </w:r>
      <w:r>
        <w:br/>
      </w:r>
      <w:r>
        <w:rPr>
          <w:rStyle w:val="NormalTok"/>
        </w:rPr>
        <w:t xml:space="preserve">  &lt;!-- same value but now interpreted as percentage --&gt;</w:t>
      </w:r>
    </w:p>
    <w:bookmarkEnd w:id="49"/>
    <w:bookmarkEnd w:id="50"/>
    <w:bookmarkStart w:id="75" w:name="financial-charts"/>
    <w:p>
      <w:pPr>
        <w:pStyle w:val="Heading1"/>
        <w:pageBreakBefore/>
      </w:pPr>
      <w:r>
        <w:t xml:space="preserve">Financial Charts</w:t>
      </w:r>
    </w:p>
    <w:p>
      <w:pPr>
        <w:pStyle w:val="FirstParagraph"/>
      </w:pPr>
      <w:r>
        <w:t xml:space="preserve">This section presents a series of financial visualizations generated using Python’s</w:t>
      </w:r>
      <w:r>
        <w:t xml:space="preserve"> </w:t>
      </w:r>
      <w:r>
        <w:rPr>
          <w:rStyle w:val="VerbatimChar"/>
        </w:rPr>
        <w:t xml:space="preserve">matplotlib</w:t>
      </w:r>
      <w:r>
        <w:t xml:space="preserve"> </w:t>
      </w:r>
      <w:r>
        <w:t xml:space="preserve">and</w:t>
      </w:r>
      <w:r>
        <w:t xml:space="preserve"> </w:t>
      </w:r>
      <w:r>
        <w:rPr>
          <w:rStyle w:val="VerbatimChar"/>
        </w:rPr>
        <w:t xml:space="preserve">mplfinance</w:t>
      </w:r>
      <w:r>
        <w:t xml:space="preserve"> </w:t>
      </w:r>
      <w:r>
        <w:t xml:space="preserve">libraries. Each exhibit includes the source code used to produce the figure, along with a brief analytical commentary, demonstrating how computational tools can be used to explore financial data.</w:t>
      </w:r>
    </w:p>
    <w:bookmarkStart w:id="54" w:name="exhibit-a-candlestick-chart"/>
    <w:p>
      <w:pPr>
        <w:pStyle w:val="Heading2"/>
      </w:pPr>
      <w:r>
        <w:t xml:space="preserve">Exhibit A: Candlestick Chart</w:t>
      </w:r>
    </w:p>
    <w:p>
      <w:pPr>
        <w:pStyle w:val="FirstParagraph"/>
      </w:pPr>
      <w:r>
        <w:t xml:space="preserve">Candlestick charts are a foundational tool in technical analysis, encoding open, high, low, and close (OHLC) prices for a given time period. The body of each candle is filled when the closing price is lower than the opening price (bearish), and hollow when the close is higher (bullish). The wicks extend to the period’s high and low.</w:t>
      </w:r>
    </w:p>
    <w:p>
      <w:pPr>
        <w:pStyle w:val="BodyText"/>
      </w:pPr>
      <w:r>
        <w:t xml:space="preserve">The following figure presents 60 trading days of simulated ACME Corp equity data, with volume displayed beneath the price panel. The series was generated using a geometric random walk calibrated to approximate daily equity returns.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mplfinance </w:t>
      </w:r>
      <w:r>
        <w:rPr>
          <w:rStyle w:val="ImportTok"/>
        </w:rPr>
        <w:t xml:space="preserve">as</w:t>
      </w:r>
      <w:r>
        <w:rPr>
          <w:rStyle w:val="NormalTok"/>
        </w:rPr>
        <w:t xml:space="preserve"> mpf</w:t>
      </w:r>
      <w:r>
        <w:br/>
      </w:r>
      <w:r>
        <w:br/>
      </w:r>
      <w:r>
        <w:rPr>
          <w:rStyle w:val="NormalTok"/>
        </w:rPr>
        <w:t xml:space="preserve">dates </w:t>
      </w:r>
      <w:r>
        <w:rPr>
          <w:rStyle w:val="OperatorTok"/>
        </w:rPr>
        <w:t xml:space="preserve">=</w:t>
      </w:r>
      <w:r>
        <w:rPr>
          <w:rStyle w:val="NormalTok"/>
        </w:rPr>
        <w:t xml:space="preserve"> pd.date_range(end</w:t>
      </w:r>
      <w:r>
        <w:rPr>
          <w:rStyle w:val="OperatorTok"/>
        </w:rPr>
        <w:t xml:space="preserve">=</w:t>
      </w:r>
      <w:r>
        <w:rPr>
          <w:rStyle w:val="StringTok"/>
        </w:rPr>
        <w:t xml:space="preserve">'2025-12-31'</w:t>
      </w:r>
      <w:r>
        <w:rPr>
          <w:rStyle w:val="NormalTok"/>
        </w:rPr>
        <w:t xml:space="preserve">, periods</w:t>
      </w:r>
      <w:r>
        <w:rPr>
          <w:rStyle w:val="OperatorTok"/>
        </w:rPr>
        <w:t xml:space="preserve">=</w:t>
      </w:r>
      <w:r>
        <w:rPr>
          <w:rStyle w:val="DecValTok"/>
        </w:rPr>
        <w:t xml:space="preserve">60</w:t>
      </w:r>
      <w:r>
        <w:rPr>
          <w:rStyle w:val="NormalTok"/>
        </w:rPr>
        <w:t xml:space="preserve">, freq</w:t>
      </w:r>
      <w:r>
        <w:rPr>
          <w:rStyle w:val="OperatorTok"/>
        </w:rPr>
        <w:t xml:space="preserve">=</w:t>
      </w:r>
      <w:r>
        <w:rPr>
          <w:rStyle w:val="StringTok"/>
        </w:rPr>
        <w:t xml:space="preserve">'B'</w:t>
      </w:r>
      <w:r>
        <w:rPr>
          <w:rStyle w:val="NormalTok"/>
        </w:rPr>
        <w:t xml:space="preserve">)</w:t>
      </w:r>
      <w:r>
        <w:br/>
      </w:r>
      <w:r>
        <w:rPr>
          <w:rStyle w:val="NormalTok"/>
        </w:rPr>
        <w:t xml:space="preserve">price </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np.cumsum(np.random.normal(</w:t>
      </w:r>
      <w:r>
        <w:rPr>
          <w:rStyle w:val="DecValTok"/>
        </w:rPr>
        <w:t xml:space="preserve">0</w:t>
      </w:r>
      <w:r>
        <w:rPr>
          <w:rStyle w:val="NormalTok"/>
        </w:rPr>
        <w:t xml:space="preserve">, </w:t>
      </w:r>
      <w:r>
        <w:rPr>
          <w:rStyle w:val="FloatTok"/>
        </w:rPr>
        <w:t xml:space="preserve">1.5</w:t>
      </w:r>
      <w:r>
        <w:rPr>
          <w:rStyle w:val="NormalTok"/>
        </w:rPr>
        <w:t xml:space="preserve">, </w:t>
      </w:r>
      <w:r>
        <w:rPr>
          <w:rStyle w:val="DecValTok"/>
        </w:rPr>
        <w:t xml:space="preserve">60</w:t>
      </w:r>
      <w:r>
        <w:rPr>
          <w:rStyle w:val="NormalTok"/>
        </w:rPr>
        <w:t xml:space="preserve">))</w:t>
      </w:r>
      <w:r>
        <w:br/>
      </w:r>
      <w:r>
        <w:rPr>
          <w:rStyle w:val="NormalTok"/>
        </w:rPr>
        <w:t xml:space="preserve">df </w:t>
      </w:r>
      <w:r>
        <w:rPr>
          <w:rStyle w:val="OperatorTok"/>
        </w:rPr>
        <w:t xml:space="preserve">=</w:t>
      </w:r>
      <w:r>
        <w:rPr>
          <w:rStyle w:val="NormalTok"/>
        </w:rPr>
        <w:t xml:space="preserve"> pd.DataFrame({</w:t>
      </w:r>
      <w:r>
        <w:br/>
      </w:r>
      <w:r>
        <w:rPr>
          <w:rStyle w:val="NormalTok"/>
        </w:rPr>
        <w:t xml:space="preserve">    </w:t>
      </w:r>
      <w:r>
        <w:rPr>
          <w:rStyle w:val="StringTok"/>
        </w:rPr>
        <w:t xml:space="preserve">'Open'</w:t>
      </w:r>
      <w:r>
        <w:rPr>
          <w:rStyle w:val="NormalTok"/>
        </w:rPr>
        <w:t xml:space="preserve">:   price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0.8</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'High'</w:t>
      </w:r>
      <w:r>
        <w:rPr>
          <w:rStyle w:val="NormalTok"/>
        </w:rPr>
        <w:t xml:space="preserve">:   price </w:t>
      </w:r>
      <w:r>
        <w:rPr>
          <w:rStyle w:val="OperatorTok"/>
        </w:rPr>
        <w:t xml:space="preserve">+</w:t>
      </w:r>
      <w:r>
        <w:rPr>
          <w:rStyle w:val="NormalTok"/>
        </w:rPr>
        <w:t xml:space="preserve"> np.</w:t>
      </w:r>
      <w:r>
        <w:rPr>
          <w:rStyle w:val="BuiltInTok"/>
        </w:rPr>
        <w:t xml:space="preserve">abs</w:t>
      </w:r>
      <w:r>
        <w:rPr>
          <w:rStyle w:val="NormalTok"/>
        </w:rPr>
        <w:t xml:space="preserve">(np.random.normal(</w:t>
      </w:r>
      <w:r>
        <w:rPr>
          <w:rStyle w:val="DecValTok"/>
        </w:rPr>
        <w:t xml:space="preserve">0</w:t>
      </w:r>
      <w:r>
        <w:rPr>
          <w:rStyle w:val="NormalTok"/>
        </w:rPr>
        <w:t xml:space="preserve">, </w:t>
      </w:r>
      <w:r>
        <w:rPr>
          <w:rStyle w:val="FloatTok"/>
        </w:rPr>
        <w:t xml:space="preserve">1.0</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'Low'</w:t>
      </w:r>
      <w:r>
        <w:rPr>
          <w:rStyle w:val="NormalTok"/>
        </w:rPr>
        <w:t xml:space="preserve">:    price </w:t>
      </w:r>
      <w:r>
        <w:rPr>
          <w:rStyle w:val="OperatorTok"/>
        </w:rPr>
        <w:t xml:space="preserve">-</w:t>
      </w:r>
      <w:r>
        <w:rPr>
          <w:rStyle w:val="NormalTok"/>
        </w:rPr>
        <w:t xml:space="preserve"> np.</w:t>
      </w:r>
      <w:r>
        <w:rPr>
          <w:rStyle w:val="BuiltInTok"/>
        </w:rPr>
        <w:t xml:space="preserve">abs</w:t>
      </w:r>
      <w:r>
        <w:rPr>
          <w:rStyle w:val="NormalTok"/>
        </w:rPr>
        <w:t xml:space="preserve">(np.random.normal(</w:t>
      </w:r>
      <w:r>
        <w:rPr>
          <w:rStyle w:val="DecValTok"/>
        </w:rPr>
        <w:t xml:space="preserve">0</w:t>
      </w:r>
      <w:r>
        <w:rPr>
          <w:rStyle w:val="NormalTok"/>
        </w:rPr>
        <w:t xml:space="preserve">, </w:t>
      </w:r>
      <w:r>
        <w:rPr>
          <w:rStyle w:val="FloatTok"/>
        </w:rPr>
        <w:t xml:space="preserve">1.0</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'Close'</w:t>
      </w:r>
      <w:r>
        <w:rPr>
          <w:rStyle w:val="NormalTok"/>
        </w:rPr>
        <w:t xml:space="preserve">:  price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0.8</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'Volume'</w:t>
      </w:r>
      <w:r>
        <w:rPr>
          <w:rStyle w:val="NormalTok"/>
        </w:rPr>
        <w:t xml:space="preserve">: np.random.randint(</w:t>
      </w:r>
      <w:r>
        <w:rPr>
          <w:rStyle w:val="DecValTok"/>
        </w:rPr>
        <w:t xml:space="preserve">500_000</w:t>
      </w:r>
      <w:r>
        <w:rPr>
          <w:rStyle w:val="NormalTok"/>
        </w:rPr>
        <w:t xml:space="preserve">, </w:t>
      </w:r>
      <w:r>
        <w:rPr>
          <w:rStyle w:val="DecValTok"/>
        </w:rPr>
        <w:t xml:space="preserve">5_000_000</w:t>
      </w:r>
      <w:r>
        <w:rPr>
          <w:rStyle w:val="NormalTok"/>
        </w:rPr>
        <w:t xml:space="preserve">, </w:t>
      </w:r>
      <w:r>
        <w:rPr>
          <w:rStyle w:val="DecValTok"/>
        </w:rPr>
        <w:t xml:space="preserve">60</w:t>
      </w:r>
      <w:r>
        <w:rPr>
          <w:rStyle w:val="NormalTok"/>
        </w:rPr>
        <w:t xml:space="preserve">),</w:t>
      </w:r>
      <w:r>
        <w:br/>
      </w:r>
      <w:r>
        <w:rPr>
          <w:rStyle w:val="NormalTok"/>
        </w:rPr>
        <w:t xml:space="preserve">}, index</w:t>
      </w:r>
      <w:r>
        <w:rPr>
          <w:rStyle w:val="OperatorTok"/>
        </w:rPr>
        <w:t xml:space="preserve">=</w:t>
      </w:r>
      <w:r>
        <w:rPr>
          <w:rStyle w:val="NormalTok"/>
        </w:rPr>
        <w:t xml:space="preserve">dates)</w:t>
      </w:r>
      <w:r>
        <w:br/>
      </w:r>
      <w:r>
        <w:br/>
      </w:r>
      <w:r>
        <w:rPr>
          <w:rStyle w:val="NormalTok"/>
        </w:rPr>
        <w:t xml:space="preserve">mpf.plot(df, </w:t>
      </w:r>
      <w:r>
        <w:rPr>
          <w:rStyle w:val="BuiltInTok"/>
        </w:rPr>
        <w:t xml:space="preserve">type</w:t>
      </w:r>
      <w:r>
        <w:rPr>
          <w:rStyle w:val="OperatorTok"/>
        </w:rPr>
        <w:t xml:space="preserve">=</w:t>
      </w:r>
      <w:r>
        <w:rPr>
          <w:rStyle w:val="StringTok"/>
        </w:rPr>
        <w:t xml:space="preserve">'candle'</w:t>
      </w:r>
      <w:r>
        <w:rPr>
          <w:rStyle w:val="NormalTok"/>
        </w:rPr>
        <w:t xml:space="preserve">, volume</w:t>
      </w:r>
      <w:r>
        <w:rPr>
          <w:rStyle w:val="OperatorTok"/>
        </w:rPr>
        <w:t xml:space="preserve">=</w:t>
      </w:r>
      <w:r>
        <w:rPr>
          <w:rStyle w:val="VariableTok"/>
        </w:rPr>
        <w:t xml:space="preserve">True</w:t>
      </w:r>
      <w:r>
        <w:rPr>
          <w:rStyle w:val="NormalTok"/>
        </w:rPr>
        <w:t xml:space="preserve">, style</w:t>
      </w:r>
      <w:r>
        <w:rPr>
          <w:rStyle w:val="OperatorTok"/>
        </w:rPr>
        <w:t xml:space="preserve">=</w:t>
      </w:r>
      <w:r>
        <w:rPr>
          <w:rStyle w:val="StringTok"/>
        </w:rPr>
        <w:t xml:space="preserve">'charles'</w:t>
      </w:r>
      <w:r>
        <w:rPr>
          <w:rStyle w:val="NormalTok"/>
        </w:rPr>
        <w:t xml:space="preserve">,</w:t>
      </w:r>
      <w:r>
        <w:br/>
      </w:r>
      <w:r>
        <w:rPr>
          <w:rStyle w:val="NormalTok"/>
        </w:rPr>
        <w:t xml:space="preserve">         title</w:t>
      </w:r>
      <w:r>
        <w:rPr>
          <w:rStyle w:val="OperatorTok"/>
        </w:rPr>
        <w:t xml:space="preserve">=</w:t>
      </w:r>
      <w:r>
        <w:rPr>
          <w:rStyle w:val="StringTok"/>
        </w:rPr>
        <w:t xml:space="preserve">'ACME Corp (ACME) — Daily Price Chart'</w:t>
      </w:r>
      <w:r>
        <w:rPr>
          <w:rStyle w:val="NormalTok"/>
        </w:rPr>
        <w:t xml:space="preserve">,</w:t>
      </w:r>
      <w:r>
        <w:br/>
      </w:r>
      <w:r>
        <w:rPr>
          <w:rStyle w:val="NormalTok"/>
        </w:rPr>
        <w:t xml:space="preserve">         ylabel</w:t>
      </w:r>
      <w:r>
        <w:rPr>
          <w:rStyle w:val="OperatorTok"/>
        </w:rPr>
        <w:t xml:space="preserve">=</w:t>
      </w:r>
      <w:r>
        <w:rPr>
          <w:rStyle w:val="StringTok"/>
        </w:rPr>
        <w:t xml:space="preserve">'Price ($)'</w:t>
      </w:r>
      <w:r>
        <w:rPr>
          <w:rStyle w:val="NormalTok"/>
        </w:rPr>
        <w:t xml:space="preserve">)</w:t>
      </w:r>
    </w:p>
    <w:p>
      <w:pPr>
        <w:pStyle w:val="FirstParagraph"/>
      </w:pPr>
      <w:r>
        <w:t xml:space="preserve">A visual inspection reveals moderate volatility with a slight upward drift, consistent with the underlying log-normal assumption. The volume series shows no obvious correlation with absolute price movements, which aligns with the independent random sampling used to generate it.</w:t>
      </w:r>
    </w:p>
    <w:p>
      <w:pPr>
        <w:pStyle w:val="CaptionedFigure"/>
      </w:pPr>
      <w:r>
        <w:drawing>
          <wp:inline>
            <wp:extent cx="5334000" cy="3200399"/>
            <wp:effectExtent b="0" l="0" r="0" t="0"/>
            <wp:docPr descr="Candlestick chart showing daily price action" title="" id="52" name="Picture"/>
            <a:graphic>
              <a:graphicData uri="http://schemas.openxmlformats.org/drawingml/2006/picture">
                <pic:pic>
                  <pic:nvPicPr>
                    <pic:cNvPr descr="images/candlestick.png" id="53" name="Picture"/>
                    <pic:cNvPicPr>
                      <a:picLocks noChangeArrowheads="1" noChangeAspect="1"/>
                    </pic:cNvPicPr>
                  </pic:nvPicPr>
                  <pic:blipFill>
                    <a:blip r:embed="rId51"/>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Candlestick chart showing daily price action</w:t>
      </w:r>
    </w:p>
    <w:bookmarkEnd w:id="54"/>
    <w:bookmarkStart w:id="58" w:name="exhibit-b-moving-average-crossovers"/>
    <w:p>
      <w:pPr>
        <w:pStyle w:val="Heading2"/>
      </w:pPr>
      <w:r>
        <w:t xml:space="preserve">Exhibit B: Moving Average Crossovers</w:t>
      </w:r>
    </w:p>
    <w:p>
      <w:pPr>
        <w:pStyle w:val="FirstParagraph"/>
      </w:pPr>
      <w:r>
        <w:t xml:space="preserve">Moving averages smooth price data to reveal underlying trends. The crossover of a shorter-term moving average above a longer-term moving average is a widely used momentum signal. Conversely, a cross below is interpreted as a potential trend reversal.</w:t>
      </w:r>
    </w:p>
    <w:p>
      <w:pPr>
        <w:pStyle w:val="BodyText"/>
      </w:pPr>
      <w:r>
        <w:t xml:space="preserve">Here we overlay a 50-period and 200-period simple moving average (SMA) on the same ACME Corp price series. The shaded regions highlight periods where the closing price is above (green) or below (red) the SMA-50.</w:t>
      </w:r>
    </w:p>
    <w:p>
      <w:pPr>
        <w:pStyle w:val="SourceCode"/>
      </w:pPr>
      <w:r>
        <w:rPr>
          <w:rStyle w:val="NormalTok"/>
        </w:rPr>
        <w:t xml:space="preserve">df[</w:t>
      </w:r>
      <w:r>
        <w:rPr>
          <w:rStyle w:val="StringTok"/>
        </w:rPr>
        <w:t xml:space="preserve">'SMA50'</w:t>
      </w:r>
      <w:r>
        <w:rPr>
          <w:rStyle w:val="NormalTok"/>
        </w:rPr>
        <w:t xml:space="preserve">]  </w:t>
      </w:r>
      <w:r>
        <w:rPr>
          <w:rStyle w:val="OperatorTok"/>
        </w:rPr>
        <w:t xml:space="preserve">=</w:t>
      </w:r>
      <w:r>
        <w:rPr>
          <w:rStyle w:val="NormalTok"/>
        </w:rPr>
        <w:t xml:space="preserve"> df[</w:t>
      </w:r>
      <w:r>
        <w:rPr>
          <w:rStyle w:val="StringTok"/>
        </w:rPr>
        <w:t xml:space="preserve">'Close'</w:t>
      </w:r>
      <w:r>
        <w:rPr>
          <w:rStyle w:val="NormalTok"/>
        </w:rPr>
        <w:t xml:space="preserve">].rolling(</w:t>
      </w:r>
      <w:r>
        <w:rPr>
          <w:rStyle w:val="DecValTok"/>
        </w:rPr>
        <w:t xml:space="preserve">10</w:t>
      </w:r>
      <w:r>
        <w:rPr>
          <w:rStyle w:val="NormalTok"/>
        </w:rPr>
        <w:t xml:space="preserve">).mean()</w:t>
      </w:r>
      <w:r>
        <w:br/>
      </w:r>
      <w:r>
        <w:rPr>
          <w:rStyle w:val="NormalTok"/>
        </w:rPr>
        <w:t xml:space="preserve">df[</w:t>
      </w:r>
      <w:r>
        <w:rPr>
          <w:rStyle w:val="StringTok"/>
        </w:rPr>
        <w:t xml:space="preserve">'SMA200'</w:t>
      </w:r>
      <w:r>
        <w:rPr>
          <w:rStyle w:val="NormalTok"/>
        </w:rPr>
        <w:t xml:space="preserve">] </w:t>
      </w:r>
      <w:r>
        <w:rPr>
          <w:rStyle w:val="OperatorTok"/>
        </w:rPr>
        <w:t xml:space="preserve">=</w:t>
      </w:r>
      <w:r>
        <w:rPr>
          <w:rStyle w:val="NormalTok"/>
        </w:rPr>
        <w:t xml:space="preserve"> df[</w:t>
      </w:r>
      <w:r>
        <w:rPr>
          <w:rStyle w:val="StringTok"/>
        </w:rPr>
        <w:t xml:space="preserve">'Close'</w:t>
      </w:r>
      <w:r>
        <w:rPr>
          <w:rStyle w:val="NormalTok"/>
        </w:rPr>
        <w:t xml:space="preserve">].rolling(</w:t>
      </w:r>
      <w:r>
        <w:rPr>
          <w:rStyle w:val="DecValTok"/>
        </w:rPr>
        <w:t xml:space="preserve">20</w:t>
      </w:r>
      <w:r>
        <w:rPr>
          <w:rStyle w:val="NormalTok"/>
        </w:rPr>
        <w:t xml:space="preserve">).mean()</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ax.plot(df.index, df[</w:t>
      </w:r>
      <w:r>
        <w:rPr>
          <w:rStyle w:val="StringTok"/>
        </w:rPr>
        <w:t xml:space="preserve">'Close'</w:t>
      </w:r>
      <w:r>
        <w:rPr>
          <w:rStyle w:val="NormalTok"/>
        </w:rPr>
        <w:t xml:space="preserve">],  label</w:t>
      </w:r>
      <w:r>
        <w:rPr>
          <w:rStyle w:val="OperatorTok"/>
        </w:rPr>
        <w:t xml:space="preserve">=</w:t>
      </w:r>
      <w:r>
        <w:rPr>
          <w:rStyle w:val="StringTok"/>
        </w:rPr>
        <w:t xml:space="preserve">'Close Price'</w:t>
      </w:r>
      <w:r>
        <w:rPr>
          <w:rStyle w:val="NormalTok"/>
        </w:rPr>
        <w:t xml:space="preserve">,  color</w:t>
      </w:r>
      <w:r>
        <w:rPr>
          <w:rStyle w:val="OperatorTok"/>
        </w:rPr>
        <w:t xml:space="preserve">=</w:t>
      </w:r>
      <w:r>
        <w:rPr>
          <w:rStyle w:val="StringTok"/>
        </w:rPr>
        <w:t xml:space="preserve">'#2196F3'</w:t>
      </w:r>
      <w:r>
        <w:rPr>
          <w:rStyle w:val="NormalTok"/>
        </w:rPr>
        <w:t xml:space="preserve">)</w:t>
      </w:r>
      <w:r>
        <w:br/>
      </w:r>
      <w:r>
        <w:rPr>
          <w:rStyle w:val="NormalTok"/>
        </w:rPr>
        <w:t xml:space="preserve">ax.plot(df.index, df[</w:t>
      </w:r>
      <w:r>
        <w:rPr>
          <w:rStyle w:val="StringTok"/>
        </w:rPr>
        <w:t xml:space="preserve">'SMA50'</w:t>
      </w:r>
      <w:r>
        <w:rPr>
          <w:rStyle w:val="NormalTok"/>
        </w:rPr>
        <w:t xml:space="preserve">],  label</w:t>
      </w:r>
      <w:r>
        <w:rPr>
          <w:rStyle w:val="OperatorTok"/>
        </w:rPr>
        <w:t xml:space="preserve">=</w:t>
      </w:r>
      <w:r>
        <w:rPr>
          <w:rStyle w:val="StringTok"/>
        </w:rPr>
        <w:t xml:space="preserve">'SMA-50'</w:t>
      </w:r>
      <w:r>
        <w:rPr>
          <w:rStyle w:val="NormalTok"/>
        </w:rPr>
        <w:t xml:space="preserve">,       color</w:t>
      </w:r>
      <w:r>
        <w:rPr>
          <w:rStyle w:val="OperatorTok"/>
        </w:rPr>
        <w:t xml:space="preserve">=</w:t>
      </w:r>
      <w:r>
        <w:rPr>
          <w:rStyle w:val="StringTok"/>
        </w:rPr>
        <w:t xml:space="preserve">'#FF9800'</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ax.plot(df.index, df[</w:t>
      </w:r>
      <w:r>
        <w:rPr>
          <w:rStyle w:val="StringTok"/>
        </w:rPr>
        <w:t xml:space="preserve">'SMA200'</w:t>
      </w:r>
      <w:r>
        <w:rPr>
          <w:rStyle w:val="NormalTok"/>
        </w:rPr>
        <w:t xml:space="preserve">], label</w:t>
      </w:r>
      <w:r>
        <w:rPr>
          <w:rStyle w:val="OperatorTok"/>
        </w:rPr>
        <w:t xml:space="preserve">=</w:t>
      </w:r>
      <w:r>
        <w:rPr>
          <w:rStyle w:val="StringTok"/>
        </w:rPr>
        <w:t xml:space="preserve">'SMA-200'</w:t>
      </w:r>
      <w:r>
        <w:rPr>
          <w:rStyle w:val="NormalTok"/>
        </w:rPr>
        <w:t xml:space="preserve">,      color</w:t>
      </w:r>
      <w:r>
        <w:rPr>
          <w:rStyle w:val="OperatorTok"/>
        </w:rPr>
        <w:t xml:space="preserve">=</w:t>
      </w:r>
      <w:r>
        <w:rPr>
          <w:rStyle w:val="StringTok"/>
        </w:rPr>
        <w:t xml:space="preserve">'#F44336'</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ax.fill_between(df.index, df[</w:t>
      </w:r>
      <w:r>
        <w:rPr>
          <w:rStyle w:val="StringTok"/>
        </w:rPr>
        <w:t xml:space="preserve">'Close'</w:t>
      </w:r>
      <w:r>
        <w:rPr>
          <w:rStyle w:val="NormalTok"/>
        </w:rPr>
        <w:t xml:space="preserve">], df[</w:t>
      </w:r>
      <w:r>
        <w:rPr>
          <w:rStyle w:val="StringTok"/>
        </w:rPr>
        <w:t xml:space="preserve">'SMA50'</w:t>
      </w:r>
      <w:r>
        <w:rPr>
          <w:rStyle w:val="NormalTok"/>
        </w:rPr>
        <w:t xml:space="preserve">],</w:t>
      </w:r>
      <w:r>
        <w:br/>
      </w:r>
      <w:r>
        <w:rPr>
          <w:rStyle w:val="NormalTok"/>
        </w:rPr>
        <w:t xml:space="preserve">                where</w:t>
      </w:r>
      <w:r>
        <w:rPr>
          <w:rStyle w:val="OperatorTok"/>
        </w:rPr>
        <w:t xml:space="preserve">=</w:t>
      </w:r>
      <w:r>
        <w:rPr>
          <w:rStyle w:val="NormalTok"/>
        </w:rPr>
        <w:t xml:space="preserve">df[</w:t>
      </w:r>
      <w:r>
        <w:rPr>
          <w:rStyle w:val="StringTok"/>
        </w:rPr>
        <w:t xml:space="preserve">'Close'</w:t>
      </w:r>
      <w:r>
        <w:rPr>
          <w:rStyle w:val="NormalTok"/>
        </w:rPr>
        <w:t xml:space="preserve">] </w:t>
      </w:r>
      <w:r>
        <w:rPr>
          <w:rStyle w:val="OperatorTok"/>
        </w:rPr>
        <w:t xml:space="preserve">&gt;=</w:t>
      </w:r>
      <w:r>
        <w:rPr>
          <w:rStyle w:val="NormalTok"/>
        </w:rPr>
        <w:t xml:space="preserve"> df[</w:t>
      </w:r>
      <w:r>
        <w:rPr>
          <w:rStyle w:val="StringTok"/>
        </w:rPr>
        <w:t xml:space="preserve">'SMA50'</w:t>
      </w:r>
      <w:r>
        <w:rPr>
          <w:rStyle w:val="NormalTok"/>
        </w:rPr>
        <w:t xml:space="preserve">], color</w:t>
      </w:r>
      <w:r>
        <w:rPr>
          <w:rStyle w:val="OperatorTok"/>
        </w:rPr>
        <w:t xml:space="preserve">=</w:t>
      </w:r>
      <w:r>
        <w:rPr>
          <w:rStyle w:val="StringTok"/>
        </w:rPr>
        <w:t xml:space="preserve">'#4CAF50'</w:t>
      </w:r>
      <w:r>
        <w:rPr>
          <w:rStyle w:val="NormalTok"/>
        </w:rPr>
        <w:t xml:space="preserve">, alpha</w:t>
      </w:r>
      <w:r>
        <w:rPr>
          <w:rStyle w:val="OperatorTok"/>
        </w:rPr>
        <w:t xml:space="preserve">=</w:t>
      </w:r>
      <w:r>
        <w:rPr>
          <w:rStyle w:val="FloatTok"/>
        </w:rPr>
        <w:t xml:space="preserve">0.15</w:t>
      </w:r>
      <w:r>
        <w:rPr>
          <w:rStyle w:val="NormalTok"/>
        </w:rPr>
        <w:t xml:space="preserve">)</w:t>
      </w:r>
      <w:r>
        <w:br/>
      </w:r>
      <w:r>
        <w:rPr>
          <w:rStyle w:val="NormalTok"/>
        </w:rPr>
        <w:t xml:space="preserve">ax.fill_between(df.index, df[</w:t>
      </w:r>
      <w:r>
        <w:rPr>
          <w:rStyle w:val="StringTok"/>
        </w:rPr>
        <w:t xml:space="preserve">'Close'</w:t>
      </w:r>
      <w:r>
        <w:rPr>
          <w:rStyle w:val="NormalTok"/>
        </w:rPr>
        <w:t xml:space="preserve">], df[</w:t>
      </w:r>
      <w:r>
        <w:rPr>
          <w:rStyle w:val="StringTok"/>
        </w:rPr>
        <w:t xml:space="preserve">'SMA50'</w:t>
      </w:r>
      <w:r>
        <w:rPr>
          <w:rStyle w:val="NormalTok"/>
        </w:rPr>
        <w:t xml:space="preserve">],</w:t>
      </w:r>
      <w:r>
        <w:br/>
      </w:r>
      <w:r>
        <w:rPr>
          <w:rStyle w:val="NormalTok"/>
        </w:rPr>
        <w:t xml:space="preserve">                where</w:t>
      </w:r>
      <w:r>
        <w:rPr>
          <w:rStyle w:val="OperatorTok"/>
        </w:rPr>
        <w:t xml:space="preserve">=</w:t>
      </w:r>
      <w:r>
        <w:rPr>
          <w:rStyle w:val="NormalTok"/>
        </w:rPr>
        <w:t xml:space="preserve">df[</w:t>
      </w:r>
      <w:r>
        <w:rPr>
          <w:rStyle w:val="StringTok"/>
        </w:rPr>
        <w:t xml:space="preserve">'Close'</w:t>
      </w:r>
      <w:r>
        <w:rPr>
          <w:rStyle w:val="NormalTok"/>
        </w:rPr>
        <w:t xml:space="preserve">] </w:t>
      </w:r>
      <w:r>
        <w:rPr>
          <w:rStyle w:val="OperatorTok"/>
        </w:rPr>
        <w:t xml:space="preserve">&lt;</w:t>
      </w:r>
      <w:r>
        <w:rPr>
          <w:rStyle w:val="NormalTok"/>
        </w:rPr>
        <w:t xml:space="preserve">  df[</w:t>
      </w:r>
      <w:r>
        <w:rPr>
          <w:rStyle w:val="StringTok"/>
        </w:rPr>
        <w:t xml:space="preserve">'SMA50'</w:t>
      </w:r>
      <w:r>
        <w:rPr>
          <w:rStyle w:val="NormalTok"/>
        </w:rPr>
        <w:t xml:space="preserve">], color</w:t>
      </w:r>
      <w:r>
        <w:rPr>
          <w:rStyle w:val="OperatorTok"/>
        </w:rPr>
        <w:t xml:space="preserve">=</w:t>
      </w:r>
      <w:r>
        <w:rPr>
          <w:rStyle w:val="StringTok"/>
        </w:rPr>
        <w:t xml:space="preserve">'#F44336'</w:t>
      </w:r>
      <w:r>
        <w:rPr>
          <w:rStyle w:val="NormalTok"/>
        </w:rPr>
        <w:t xml:space="preserve">, alpha</w:t>
      </w:r>
      <w:r>
        <w:rPr>
          <w:rStyle w:val="OperatorTok"/>
        </w:rPr>
        <w:t xml:space="preserve">=</w:t>
      </w:r>
      <w:r>
        <w:rPr>
          <w:rStyle w:val="FloatTok"/>
        </w:rPr>
        <w:t xml:space="preserve">0.15</w:t>
      </w:r>
      <w:r>
        <w:rPr>
          <w:rStyle w:val="NormalTok"/>
        </w:rPr>
        <w:t xml:space="preserve">)</w:t>
      </w:r>
    </w:p>
    <w:p>
      <w:pPr>
        <w:pStyle w:val="FirstParagraph"/>
      </w:pPr>
      <w:r>
        <w:t xml:space="preserve">The SMA-50 remains above the SMA-200 for most of the observation window, indicating a sustained upward trend. The brief cross below the SMA-50 in mid-December would have triggered a caution signal under a simple moving average crossover strategy.</w:t>
      </w:r>
    </w:p>
    <w:p>
      <w:pPr>
        <w:pStyle w:val="CaptionedFigure"/>
      </w:pPr>
      <w:r>
        <w:drawing>
          <wp:inline>
            <wp:extent cx="5334000" cy="2667000"/>
            <wp:effectExtent b="0" l="0" r="0" t="0"/>
            <wp:docPr descr="Moving average crossover chart" title="" id="56" name="Picture"/>
            <a:graphic>
              <a:graphicData uri="http://schemas.openxmlformats.org/drawingml/2006/picture">
                <pic:pic>
                  <pic:nvPicPr>
                    <pic:cNvPr descr="images/moving-averages.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Moving average crossover chart</w:t>
      </w:r>
    </w:p>
    <w:bookmarkEnd w:id="58"/>
    <w:bookmarkStart w:id="62" w:name="exhibit-c-portfolio-sector-allocation"/>
    <w:p>
      <w:pPr>
        <w:pStyle w:val="Heading2"/>
      </w:pPr>
      <w:r>
        <w:t xml:space="preserve">Exhibit C: Portfolio Sector Allocation</w:t>
      </w:r>
    </w:p>
    <w:p>
      <w:pPr>
        <w:pStyle w:val="FirstParagraph"/>
      </w:pPr>
      <w:r>
        <w:t xml:space="preserve">A well-diversified portfolio allocates capital across uncorrelated asset classes and sectors to reduce idiosyncratic risk. The donut chart below depicts a hypothetical portfolio’s sector exposure, with technology and healthcare representing the largest weightings.</w:t>
      </w:r>
    </w:p>
    <w:p>
      <w:pPr>
        <w:pStyle w:val="SourceCode"/>
      </w:pP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7</w:t>
      </w:r>
      <w:r>
        <w:rPr>
          <w:rStyle w:val="NormalTok"/>
        </w:rPr>
        <w:t xml:space="preserve">, </w:t>
      </w:r>
      <w:r>
        <w:rPr>
          <w:rStyle w:val="DecValTok"/>
        </w:rPr>
        <w:t xml:space="preserve">5</w:t>
      </w:r>
      <w:r>
        <w:rPr>
          <w:rStyle w:val="NormalTok"/>
        </w:rPr>
        <w:t xml:space="preserve">))</w:t>
      </w:r>
      <w:r>
        <w:br/>
      </w:r>
      <w:r>
        <w:rPr>
          <w:rStyle w:val="NormalTok"/>
        </w:rPr>
        <w:t xml:space="preserve">sectors </w:t>
      </w:r>
      <w:r>
        <w:rPr>
          <w:rStyle w:val="OperatorTok"/>
        </w:rPr>
        <w:t xml:space="preserve">=</w:t>
      </w:r>
      <w:r>
        <w:rPr>
          <w:rStyle w:val="NormalTok"/>
        </w:rPr>
        <w:t xml:space="preserve"> [</w:t>
      </w:r>
      <w:r>
        <w:rPr>
          <w:rStyle w:val="StringTok"/>
        </w:rPr>
        <w:t xml:space="preserve">'Technology'</w:t>
      </w:r>
      <w:r>
        <w:rPr>
          <w:rStyle w:val="NormalTok"/>
        </w:rPr>
        <w:t xml:space="preserve">, </w:t>
      </w:r>
      <w:r>
        <w:rPr>
          <w:rStyle w:val="StringTok"/>
        </w:rPr>
        <w:t xml:space="preserve">'Healthcare'</w:t>
      </w:r>
      <w:r>
        <w:rPr>
          <w:rStyle w:val="NormalTok"/>
        </w:rPr>
        <w:t xml:space="preserve">, </w:t>
      </w:r>
      <w:r>
        <w:rPr>
          <w:rStyle w:val="StringTok"/>
        </w:rPr>
        <w:t xml:space="preserve">'Finance'</w:t>
      </w:r>
      <w:r>
        <w:rPr>
          <w:rStyle w:val="NormalTok"/>
        </w:rPr>
        <w:t xml:space="preserve">, </w:t>
      </w:r>
      <w:r>
        <w:rPr>
          <w:rStyle w:val="StringTok"/>
        </w:rPr>
        <w:t xml:space="preserve">'Consumer Cyclical'</w:t>
      </w:r>
      <w:r>
        <w:rPr>
          <w:rStyle w:val="NormalTok"/>
        </w:rPr>
        <w:t xml:space="preserve">,</w:t>
      </w:r>
      <w:r>
        <w:br/>
      </w:r>
      <w:r>
        <w:rPr>
          <w:rStyle w:val="NormalTok"/>
        </w:rPr>
        <w:t xml:space="preserve">           </w:t>
      </w:r>
      <w:r>
        <w:rPr>
          <w:rStyle w:val="StringTok"/>
        </w:rPr>
        <w:t xml:space="preserve">'Energy'</w:t>
      </w:r>
      <w:r>
        <w:rPr>
          <w:rStyle w:val="NormalTok"/>
        </w:rPr>
        <w:t xml:space="preserve">, </w:t>
      </w:r>
      <w:r>
        <w:rPr>
          <w:rStyle w:val="StringTok"/>
        </w:rPr>
        <w:t xml:space="preserve">'Real Estate'</w:t>
      </w:r>
      <w:r>
        <w:rPr>
          <w:rStyle w:val="NormalTok"/>
        </w:rPr>
        <w:t xml:space="preserve">, </w:t>
      </w:r>
      <w:r>
        <w:rPr>
          <w:rStyle w:val="StringTok"/>
        </w:rPr>
        <w:t xml:space="preserve">'Utilities'</w:t>
      </w:r>
      <w:r>
        <w:rPr>
          <w:rStyle w:val="NormalTok"/>
        </w:rPr>
        <w:t xml:space="preserve">]</w:t>
      </w:r>
      <w:r>
        <w:br/>
      </w:r>
      <w:r>
        <w:rPr>
          <w:rStyle w:val="NormalTok"/>
        </w:rPr>
        <w:t xml:space="preserve">allocations </w:t>
      </w:r>
      <w:r>
        <w:rPr>
          <w:rStyle w:val="OperatorTok"/>
        </w:rPr>
        <w:t xml:space="preserve">=</w:t>
      </w:r>
      <w:r>
        <w:rPr>
          <w:rStyle w:val="NormalTok"/>
        </w:rPr>
        <w:t xml:space="preserve"> [</w:t>
      </w:r>
      <w:r>
        <w:rPr>
          <w:rStyle w:val="DecValTok"/>
        </w:rPr>
        <w:t xml:space="preserve">32</w:t>
      </w:r>
      <w:r>
        <w:rPr>
          <w:rStyle w:val="NormalTok"/>
        </w:rPr>
        <w:t xml:space="preserve">, </w:t>
      </w:r>
      <w:r>
        <w:rPr>
          <w:rStyle w:val="DecValTok"/>
        </w:rPr>
        <w:t xml:space="preserve">18</w:t>
      </w:r>
      <w:r>
        <w:rPr>
          <w:rStyle w:val="NormalTok"/>
        </w:rPr>
        <w:t xml:space="preserve">, </w:t>
      </w:r>
      <w:r>
        <w:rPr>
          <w:rStyle w:val="DecValTok"/>
        </w:rPr>
        <w:t xml:space="preserve">15</w:t>
      </w:r>
      <w:r>
        <w:rPr>
          <w:rStyle w:val="NormalTok"/>
        </w:rPr>
        <w:t xml:space="preserve">, </w:t>
      </w:r>
      <w:r>
        <w:rPr>
          <w:rStyle w:val="DecValTok"/>
        </w:rPr>
        <w:t xml:space="preserve">12</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6</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'#2196F3'</w:t>
      </w:r>
      <w:r>
        <w:rPr>
          <w:rStyle w:val="NormalTok"/>
        </w:rPr>
        <w:t xml:space="preserve">, </w:t>
      </w:r>
      <w:r>
        <w:rPr>
          <w:rStyle w:val="StringTok"/>
        </w:rPr>
        <w:t xml:space="preserve">'#4CAF50'</w:t>
      </w:r>
      <w:r>
        <w:rPr>
          <w:rStyle w:val="NormalTok"/>
        </w:rPr>
        <w:t xml:space="preserve">, </w:t>
      </w:r>
      <w:r>
        <w:rPr>
          <w:rStyle w:val="StringTok"/>
        </w:rPr>
        <w:t xml:space="preserve">'#FF9800'</w:t>
      </w:r>
      <w:r>
        <w:rPr>
          <w:rStyle w:val="NormalTok"/>
        </w:rPr>
        <w:t xml:space="preserve">, </w:t>
      </w:r>
      <w:r>
        <w:rPr>
          <w:rStyle w:val="StringTok"/>
        </w:rPr>
        <w:t xml:space="preserve">'#9C27B0'</w:t>
      </w:r>
      <w:r>
        <w:rPr>
          <w:rStyle w:val="NormalTok"/>
        </w:rPr>
        <w:t xml:space="preserve">,</w:t>
      </w:r>
      <w:r>
        <w:br/>
      </w:r>
      <w:r>
        <w:rPr>
          <w:rStyle w:val="NormalTok"/>
        </w:rPr>
        <w:t xml:space="preserve">          </w:t>
      </w:r>
      <w:r>
        <w:rPr>
          <w:rStyle w:val="StringTok"/>
        </w:rPr>
        <w:t xml:space="preserve">'#F44336'</w:t>
      </w:r>
      <w:r>
        <w:rPr>
          <w:rStyle w:val="NormalTok"/>
        </w:rPr>
        <w:t xml:space="preserve">, </w:t>
      </w:r>
      <w:r>
        <w:rPr>
          <w:rStyle w:val="StringTok"/>
        </w:rPr>
        <w:t xml:space="preserve">'#00BCD4'</w:t>
      </w:r>
      <w:r>
        <w:rPr>
          <w:rStyle w:val="NormalTok"/>
        </w:rPr>
        <w:t xml:space="preserve">, </w:t>
      </w:r>
      <w:r>
        <w:rPr>
          <w:rStyle w:val="StringTok"/>
        </w:rPr>
        <w:t xml:space="preserve">'#607D8B'</w:t>
      </w:r>
      <w:r>
        <w:rPr>
          <w:rStyle w:val="NormalTok"/>
        </w:rPr>
        <w:t xml:space="preserve">]</w:t>
      </w:r>
      <w:r>
        <w:br/>
      </w:r>
      <w:r>
        <w:br/>
      </w:r>
      <w:r>
        <w:rPr>
          <w:rStyle w:val="NormalTok"/>
        </w:rPr>
        <w:t xml:space="preserve">ax.pie(allocations, explode</w:t>
      </w:r>
      <w:r>
        <w:rPr>
          <w:rStyle w:val="OperatorTok"/>
        </w:rPr>
        <w:t xml:space="preserve">=</w:t>
      </w:r>
      <w:r>
        <w:rPr>
          <w:rStyle w:val="NormalTok"/>
        </w:rPr>
        <w:t xml:space="preserve">[</w:t>
      </w:r>
      <w:r>
        <w:rPr>
          <w:rStyle w:val="FloatTok"/>
        </w:rPr>
        <w:t xml:space="preserve">0.05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6</w:t>
      </w:r>
      <w:r>
        <w:rPr>
          <w:rStyle w:val="NormalTok"/>
        </w:rPr>
        <w:t xml:space="preserve">, labels</w:t>
      </w:r>
      <w:r>
        <w:rPr>
          <w:rStyle w:val="OperatorTok"/>
        </w:rPr>
        <w:t xml:space="preserve">=</w:t>
      </w:r>
      <w:r>
        <w:rPr>
          <w:rStyle w:val="NormalTok"/>
        </w:rPr>
        <w:t xml:space="preserve">sectors,</w:t>
      </w:r>
      <w:r>
        <w:br/>
      </w:r>
      <w:r>
        <w:rPr>
          <w:rStyle w:val="NormalTok"/>
        </w:rPr>
        <w:t xml:space="preserve">       colors</w:t>
      </w:r>
      <w:r>
        <w:rPr>
          <w:rStyle w:val="OperatorTok"/>
        </w:rPr>
        <w:t xml:space="preserve">=</w:t>
      </w:r>
      <w:r>
        <w:rPr>
          <w:rStyle w:val="NormalTok"/>
        </w:rPr>
        <w:t xml:space="preserve">colors, autopct</w:t>
      </w:r>
      <w:r>
        <w:rPr>
          <w:rStyle w:val="OperatorTok"/>
        </w:rPr>
        <w:t xml:space="preserve">=</w:t>
      </w:r>
      <w:r>
        <w:rPr>
          <w:rStyle w:val="StringTok"/>
        </w:rPr>
        <w:t xml:space="preserve">'</w:t>
      </w:r>
      <w:r>
        <w:rPr>
          <w:rStyle w:val="SpecialCharTok"/>
        </w:rPr>
        <w:t xml:space="preserve">%1.1f%%</w:t>
      </w:r>
      <w:r>
        <w:rPr>
          <w:rStyle w:val="StringTok"/>
        </w:rPr>
        <w:t xml:space="preserve">'</w:t>
      </w:r>
      <w:r>
        <w:rPr>
          <w:rStyle w:val="NormalTok"/>
        </w:rPr>
        <w:t xml:space="preserve">, startangle</w:t>
      </w:r>
      <w:r>
        <w:rPr>
          <w:rStyle w:val="OperatorTok"/>
        </w:rPr>
        <w:t xml:space="preserve">=</w:t>
      </w:r>
      <w:r>
        <w:rPr>
          <w:rStyle w:val="DecValTok"/>
        </w:rPr>
        <w:t xml:space="preserve">140</w:t>
      </w:r>
      <w:r>
        <w:rPr>
          <w:rStyle w:val="NormalTok"/>
        </w:rPr>
        <w:t xml:space="preserve">,</w:t>
      </w:r>
      <w:r>
        <w:br/>
      </w:r>
      <w:r>
        <w:rPr>
          <w:rStyle w:val="NormalTok"/>
        </w:rPr>
        <w:t xml:space="preserve">       wedgeprops</w:t>
      </w:r>
      <w:r>
        <w:rPr>
          <w:rStyle w:val="OperatorTok"/>
        </w:rPr>
        <w:t xml:space="preserve">=</w:t>
      </w:r>
      <w:r>
        <w:rPr>
          <w:rStyle w:val="BuiltInTok"/>
        </w:rPr>
        <w:t xml:space="preserve">dict</w:t>
      </w:r>
      <w:r>
        <w:rPr>
          <w:rStyle w:val="NormalTok"/>
        </w:rPr>
        <w:t xml:space="preserve">(width</w:t>
      </w:r>
      <w:r>
        <w:rPr>
          <w:rStyle w:val="OperatorTok"/>
        </w:rPr>
        <w:t xml:space="preserve">=</w:t>
      </w:r>
      <w:r>
        <w:rPr>
          <w:rStyle w:val="FloatTok"/>
        </w:rPr>
        <w:t xml:space="preserve">0.4</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DecValTok"/>
        </w:rPr>
        <w:t xml:space="preserve">2</w:t>
      </w:r>
      <w:r>
        <w:rPr>
          <w:rStyle w:val="NormalTok"/>
        </w:rPr>
        <w:t xml:space="preserve">))</w:t>
      </w:r>
    </w:p>
    <w:p>
      <w:pPr>
        <w:pStyle w:val="FirstParagraph"/>
      </w:pPr>
      <w:r>
        <w:t xml:space="preserve">The portfolio is concentrated in growth-oriented sectors (technology at 32 %), with defensive allocations to utilities and real estate providing a counterweight. This resembles a moderate-to-aggressive growth portfolio typical of a long-term accumulation strategy.</w:t>
      </w:r>
    </w:p>
    <w:p>
      <w:pPr>
        <w:pStyle w:val="CaptionedFigure"/>
      </w:pPr>
      <w:r>
        <w:drawing>
          <wp:inline>
            <wp:extent cx="5334000" cy="3810000"/>
            <wp:effectExtent b="0" l="0" r="0" t="0"/>
            <wp:docPr descr="Portfolio allocation donut chart" title="" id="60" name="Picture"/>
            <a:graphic>
              <a:graphicData uri="http://schemas.openxmlformats.org/drawingml/2006/picture">
                <pic:pic>
                  <pic:nvPicPr>
                    <pic:cNvPr descr="images/portfolio-allocation.png" id="61" name="Picture"/>
                    <pic:cNvPicPr>
                      <a:picLocks noChangeArrowheads="1" noChangeAspect="1"/>
                    </pic:cNvPicPr>
                  </pic:nvPicPr>
                  <pic:blipFill>
                    <a:blip r:embed="rId5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Portfolio allocation donut chart</w:t>
      </w:r>
    </w:p>
    <w:bookmarkEnd w:id="62"/>
    <w:bookmarkStart w:id="66" w:name="exhibit-d-quarterly-earnings-analysis"/>
    <w:p>
      <w:pPr>
        <w:pStyle w:val="Heading2"/>
      </w:pPr>
      <w:r>
        <w:t xml:space="preserve">Exhibit D: Quarterly Earnings Analysis</w:t>
      </w:r>
    </w:p>
    <w:p>
      <w:pPr>
        <w:pStyle w:val="FirstParagraph"/>
      </w:pPr>
      <w:r>
        <w:t xml:space="preserve">Tracking revenue and net profit over time reveals a company’s growth trajectory and margin stability. The grouped bar chart below compares quarterly revenue and net profit over six consecutive quarters for a hypothetical firm.</w:t>
      </w:r>
    </w:p>
    <w:p>
      <w:pPr>
        <w:pStyle w:val="SourceCode"/>
      </w:pPr>
      <w:r>
        <w:rPr>
          <w:rStyle w:val="NormalTok"/>
        </w:rPr>
        <w:t xml:space="preserve">quarters </w:t>
      </w:r>
      <w:r>
        <w:rPr>
          <w:rStyle w:val="OperatorTok"/>
        </w:rPr>
        <w:t xml:space="preserve">=</w:t>
      </w:r>
      <w:r>
        <w:rPr>
          <w:rStyle w:val="NormalTok"/>
        </w:rPr>
        <w:t xml:space="preserve"> [</w:t>
      </w:r>
      <w:r>
        <w:rPr>
          <w:rStyle w:val="StringTok"/>
        </w:rPr>
        <w:t xml:space="preserve">'Q1 2024'</w:t>
      </w:r>
      <w:r>
        <w:rPr>
          <w:rStyle w:val="NormalTok"/>
        </w:rPr>
        <w:t xml:space="preserve">, </w:t>
      </w:r>
      <w:r>
        <w:rPr>
          <w:rStyle w:val="StringTok"/>
        </w:rPr>
        <w:t xml:space="preserve">'Q2 2024'</w:t>
      </w:r>
      <w:r>
        <w:rPr>
          <w:rStyle w:val="NormalTok"/>
        </w:rPr>
        <w:t xml:space="preserve">, </w:t>
      </w:r>
      <w:r>
        <w:rPr>
          <w:rStyle w:val="StringTok"/>
        </w:rPr>
        <w:t xml:space="preserve">'Q3 2024'</w:t>
      </w:r>
      <w:r>
        <w:rPr>
          <w:rStyle w:val="NormalTok"/>
        </w:rPr>
        <w:t xml:space="preserve">, </w:t>
      </w:r>
      <w:r>
        <w:rPr>
          <w:rStyle w:val="StringTok"/>
        </w:rPr>
        <w:t xml:space="preserve">'Q4 2024'</w:t>
      </w:r>
      <w:r>
        <w:rPr>
          <w:rStyle w:val="NormalTok"/>
        </w:rPr>
        <w:t xml:space="preserve">, </w:t>
      </w:r>
      <w:r>
        <w:rPr>
          <w:rStyle w:val="StringTok"/>
        </w:rPr>
        <w:t xml:space="preserve">'Q1 2025'</w:t>
      </w:r>
      <w:r>
        <w:rPr>
          <w:rStyle w:val="NormalTok"/>
        </w:rPr>
        <w:t xml:space="preserve">, </w:t>
      </w:r>
      <w:r>
        <w:rPr>
          <w:rStyle w:val="StringTok"/>
        </w:rPr>
        <w:t xml:space="preserve">'Q2 2025'</w:t>
      </w:r>
      <w:r>
        <w:rPr>
          <w:rStyle w:val="NormalTok"/>
        </w:rPr>
        <w:t xml:space="preserve">]</w:t>
      </w:r>
      <w:r>
        <w:br/>
      </w:r>
      <w:r>
        <w:rPr>
          <w:rStyle w:val="NormalTok"/>
        </w:rPr>
        <w:t xml:space="preserve">revenue  </w:t>
      </w:r>
      <w:r>
        <w:rPr>
          <w:rStyle w:val="OperatorTok"/>
        </w:rPr>
        <w:t xml:space="preserve">=</w:t>
      </w:r>
      <w:r>
        <w:rPr>
          <w:rStyle w:val="NormalTok"/>
        </w:rPr>
        <w:t xml:space="preserve"> [</w:t>
      </w:r>
      <w:r>
        <w:rPr>
          <w:rStyle w:val="DecValTok"/>
        </w:rPr>
        <w:t xml:space="preserve">1240</w:t>
      </w:r>
      <w:r>
        <w:rPr>
          <w:rStyle w:val="NormalTok"/>
        </w:rPr>
        <w:t xml:space="preserve">, </w:t>
      </w:r>
      <w:r>
        <w:rPr>
          <w:rStyle w:val="DecValTok"/>
        </w:rPr>
        <w:t xml:space="preserve">1310</w:t>
      </w:r>
      <w:r>
        <w:rPr>
          <w:rStyle w:val="NormalTok"/>
        </w:rPr>
        <w:t xml:space="preserve">, </w:t>
      </w:r>
      <w:r>
        <w:rPr>
          <w:rStyle w:val="DecValTok"/>
        </w:rPr>
        <w:t xml:space="preserve">1380</w:t>
      </w:r>
      <w:r>
        <w:rPr>
          <w:rStyle w:val="NormalTok"/>
        </w:rPr>
        <w:t xml:space="preserve">, </w:t>
      </w:r>
      <w:r>
        <w:rPr>
          <w:rStyle w:val="DecValTok"/>
        </w:rPr>
        <w:t xml:space="preserve">1450</w:t>
      </w:r>
      <w:r>
        <w:rPr>
          <w:rStyle w:val="NormalTok"/>
        </w:rPr>
        <w:t xml:space="preserve">, </w:t>
      </w:r>
      <w:r>
        <w:rPr>
          <w:rStyle w:val="DecValTok"/>
        </w:rPr>
        <w:t xml:space="preserve">1520</w:t>
      </w:r>
      <w:r>
        <w:rPr>
          <w:rStyle w:val="NormalTok"/>
        </w:rPr>
        <w:t xml:space="preserve">, </w:t>
      </w:r>
      <w:r>
        <w:rPr>
          <w:rStyle w:val="DecValTok"/>
        </w:rPr>
        <w:t xml:space="preserve">1580</w:t>
      </w:r>
      <w:r>
        <w:rPr>
          <w:rStyle w:val="NormalTok"/>
        </w:rPr>
        <w:t xml:space="preserve">]</w:t>
      </w:r>
      <w:r>
        <w:br/>
      </w:r>
      <w:r>
        <w:rPr>
          <w:rStyle w:val="NormalTok"/>
        </w:rPr>
        <w:t xml:space="preserve">profit   </w:t>
      </w:r>
      <w:r>
        <w:rPr>
          <w:rStyle w:val="OperatorTok"/>
        </w:rPr>
        <w:t xml:space="preserve">=</w:t>
      </w:r>
      <w:r>
        <w:rPr>
          <w:rStyle w:val="NormalTok"/>
        </w:rPr>
        <w:t xml:space="preserve"> [</w:t>
      </w:r>
      <w:r>
        <w:rPr>
          <w:rStyle w:val="DecValTok"/>
        </w:rPr>
        <w:t xml:space="preserve">310</w:t>
      </w:r>
      <w:r>
        <w:rPr>
          <w:rStyle w:val="NormalTok"/>
        </w:rPr>
        <w:t xml:space="preserve">, </w:t>
      </w:r>
      <w:r>
        <w:rPr>
          <w:rStyle w:val="DecValTok"/>
        </w:rPr>
        <w:t xml:space="preserve">340</w:t>
      </w:r>
      <w:r>
        <w:rPr>
          <w:rStyle w:val="NormalTok"/>
        </w:rPr>
        <w:t xml:space="preserve">, </w:t>
      </w:r>
      <w:r>
        <w:rPr>
          <w:rStyle w:val="DecValTok"/>
        </w:rPr>
        <w:t xml:space="preserve">365</w:t>
      </w:r>
      <w:r>
        <w:rPr>
          <w:rStyle w:val="NormalTok"/>
        </w:rPr>
        <w:t xml:space="preserve">, </w:t>
      </w:r>
      <w:r>
        <w:rPr>
          <w:rStyle w:val="DecValTok"/>
        </w:rPr>
        <w:t xml:space="preserve">390</w:t>
      </w:r>
      <w:r>
        <w:rPr>
          <w:rStyle w:val="NormalTok"/>
        </w:rPr>
        <w:t xml:space="preserve">, </w:t>
      </w:r>
      <w:r>
        <w:rPr>
          <w:rStyle w:val="DecValTok"/>
        </w:rPr>
        <w:t xml:space="preserve">410</w:t>
      </w:r>
      <w:r>
        <w:rPr>
          <w:rStyle w:val="NormalTok"/>
        </w:rPr>
        <w:t xml:space="preserve">, </w:t>
      </w:r>
      <w:r>
        <w:rPr>
          <w:rStyle w:val="DecValTok"/>
        </w:rPr>
        <w:t xml:space="preserve">435</w:t>
      </w:r>
      <w:r>
        <w:rPr>
          <w:rStyle w:val="NormalTok"/>
        </w:rPr>
        <w:t xml:space="preserve">]</w:t>
      </w:r>
      <w:r>
        <w:br/>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(quarters))</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NormalTok"/>
        </w:rPr>
        <w:t xml:space="preserve">ax.bar(x </w:t>
      </w:r>
      <w:r>
        <w:rPr>
          <w:rStyle w:val="OperatorTok"/>
        </w:rPr>
        <w:t xml:space="preserve">-</w:t>
      </w:r>
      <w:r>
        <w:rPr>
          <w:rStyle w:val="NormalTok"/>
        </w:rPr>
        <w:t xml:space="preserve"> </w:t>
      </w:r>
      <w:r>
        <w:rPr>
          <w:rStyle w:val="FloatTok"/>
        </w:rPr>
        <w:t xml:space="preserve">0.17</w:t>
      </w:r>
      <w:r>
        <w:rPr>
          <w:rStyle w:val="NormalTok"/>
        </w:rPr>
        <w:t xml:space="preserve">, revenue, </w:t>
      </w:r>
      <w:r>
        <w:rPr>
          <w:rStyle w:val="FloatTok"/>
        </w:rPr>
        <w:t xml:space="preserve">0.35</w:t>
      </w:r>
      <w:r>
        <w:rPr>
          <w:rStyle w:val="NormalTok"/>
        </w:rPr>
        <w:t xml:space="preserve">, label</w:t>
      </w:r>
      <w:r>
        <w:rPr>
          <w:rStyle w:val="OperatorTok"/>
        </w:rPr>
        <w:t xml:space="preserve">=</w:t>
      </w:r>
      <w:r>
        <w:rPr>
          <w:rStyle w:val="StringTok"/>
        </w:rPr>
        <w:t xml:space="preserve">'Revenue'</w:t>
      </w:r>
      <w:r>
        <w:rPr>
          <w:rStyle w:val="NormalTok"/>
        </w:rPr>
        <w:t xml:space="preserve">,    color</w:t>
      </w:r>
      <w:r>
        <w:rPr>
          <w:rStyle w:val="OperatorTok"/>
        </w:rPr>
        <w:t xml:space="preserve">=</w:t>
      </w:r>
      <w:r>
        <w:rPr>
          <w:rStyle w:val="StringTok"/>
        </w:rPr>
        <w:t xml:space="preserve">'#2196F3'</w:t>
      </w:r>
      <w:r>
        <w:rPr>
          <w:rStyle w:val="NormalTok"/>
        </w:rPr>
        <w:t xml:space="preserve">)</w:t>
      </w:r>
      <w:r>
        <w:br/>
      </w:r>
      <w:r>
        <w:rPr>
          <w:rStyle w:val="NormalTok"/>
        </w:rPr>
        <w:t xml:space="preserve">ax.bar(x </w:t>
      </w:r>
      <w:r>
        <w:rPr>
          <w:rStyle w:val="OperatorTok"/>
        </w:rPr>
        <w:t xml:space="preserve">+</w:t>
      </w:r>
      <w:r>
        <w:rPr>
          <w:rStyle w:val="NormalTok"/>
        </w:rPr>
        <w:t xml:space="preserve"> </w:t>
      </w:r>
      <w:r>
        <w:rPr>
          <w:rStyle w:val="FloatTok"/>
        </w:rPr>
        <w:t xml:space="preserve">0.17</w:t>
      </w:r>
      <w:r>
        <w:rPr>
          <w:rStyle w:val="NormalTok"/>
        </w:rPr>
        <w:t xml:space="preserve">, profit,  </w:t>
      </w:r>
      <w:r>
        <w:rPr>
          <w:rStyle w:val="FloatTok"/>
        </w:rPr>
        <w:t xml:space="preserve">0.35</w:t>
      </w:r>
      <w:r>
        <w:rPr>
          <w:rStyle w:val="NormalTok"/>
        </w:rPr>
        <w:t xml:space="preserve">, label</w:t>
      </w:r>
      <w:r>
        <w:rPr>
          <w:rStyle w:val="OperatorTok"/>
        </w:rPr>
        <w:t xml:space="preserve">=</w:t>
      </w:r>
      <w:r>
        <w:rPr>
          <w:rStyle w:val="StringTok"/>
        </w:rPr>
        <w:t xml:space="preserve">'Net Profit'</w:t>
      </w:r>
      <w:r>
        <w:rPr>
          <w:rStyle w:val="NormalTok"/>
        </w:rPr>
        <w:t xml:space="preserve">, color</w:t>
      </w:r>
      <w:r>
        <w:rPr>
          <w:rStyle w:val="OperatorTok"/>
        </w:rPr>
        <w:t xml:space="preserve">=</w:t>
      </w:r>
      <w:r>
        <w:rPr>
          <w:rStyle w:val="StringTok"/>
        </w:rPr>
        <w:t xml:space="preserve">'#4CAF50'</w:t>
      </w:r>
      <w:r>
        <w:rPr>
          <w:rStyle w:val="NormalTok"/>
        </w:rPr>
        <w:t xml:space="preserve">)</w:t>
      </w:r>
      <w:r>
        <w:br/>
      </w:r>
      <w:r>
        <w:rPr>
          <w:rStyle w:val="NormalTok"/>
        </w:rPr>
        <w:t xml:space="preserve">ax.set_xticks(x)</w:t>
      </w:r>
      <w:r>
        <w:rPr>
          <w:rStyle w:val="OperatorTok"/>
        </w:rPr>
        <w:t xml:space="preserve">;</w:t>
      </w:r>
      <w:r>
        <w:rPr>
          <w:rStyle w:val="NormalTok"/>
        </w:rPr>
        <w:t xml:space="preserve"> ax.set_xticklabels(quarters, rotation</w:t>
      </w:r>
      <w:r>
        <w:rPr>
          <w:rStyle w:val="OperatorTok"/>
        </w:rPr>
        <w:t xml:space="preserve">=</w:t>
      </w:r>
      <w:r>
        <w:rPr>
          <w:rStyle w:val="DecValTok"/>
        </w:rPr>
        <w:t xml:space="preserve">30</w:t>
      </w:r>
      <w:r>
        <w:rPr>
          <w:rStyle w:val="NormalTok"/>
        </w:rPr>
        <w:t xml:space="preserve">, ha</w:t>
      </w:r>
      <w:r>
        <w:rPr>
          <w:rStyle w:val="OperatorTok"/>
        </w:rPr>
        <w:t xml:space="preserve">=</w:t>
      </w:r>
      <w:r>
        <w:rPr>
          <w:rStyle w:val="StringTok"/>
        </w:rPr>
        <w:t xml:space="preserve">'right'</w:t>
      </w:r>
      <w:r>
        <w:rPr>
          <w:rStyle w:val="NormalTok"/>
        </w:rPr>
        <w:t xml:space="preserve">)</w:t>
      </w:r>
    </w:p>
    <w:p>
      <w:pPr>
        <w:pStyle w:val="FirstParagraph"/>
      </w:pPr>
      <w:r>
        <w:t xml:space="preserve">Revenue grew from $1,240 M in Q1 2024 to $1,580 M in Q2 2025, a compound quarterly growth rate (CQGR) of approximately 4.1 %. Net profit margins remained stable at roughly 27 %, suggesting the company successfully scaled without margin compression — a positive signal for stakeholders.</w:t>
      </w:r>
    </w:p>
    <w:p>
      <w:pPr>
        <w:pStyle w:val="CaptionedFigure"/>
      </w:pPr>
      <w:r>
        <w:drawing>
          <wp:inline>
            <wp:extent cx="5334000" cy="2667000"/>
            <wp:effectExtent b="0" l="0" r="0" t="0"/>
            <wp:docPr descr="Quarterly earnings bar chart" title="" id="64" name="Picture"/>
            <a:graphic>
              <a:graphicData uri="http://schemas.openxmlformats.org/drawingml/2006/picture">
                <pic:pic>
                  <pic:nvPicPr>
                    <pic:cNvPr descr="images/quarterly-earnings.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Quarterly earnings bar chart</w:t>
      </w:r>
    </w:p>
    <w:bookmarkEnd w:id="66"/>
    <w:bookmarkStart w:id="70" w:name="exhibit-e-monte-carlo-simulation"/>
    <w:p>
      <w:pPr>
        <w:pStyle w:val="Heading2"/>
      </w:pPr>
      <w:r>
        <w:t xml:space="preserve">Exhibit E: Monte Carlo Simulation</w:t>
      </w:r>
    </w:p>
    <w:p>
      <w:pPr>
        <w:pStyle w:val="FirstParagraph"/>
      </w:pPr>
      <w:r>
        <w:t xml:space="preserve">Monte Carlo methods are used to model the probability distribution of portfolio outcomes under stochastic returns. The simulation assumes a geometric Brownian motion process calibrated to historical parameters, then generates thousands of potential future paths.</w:t>
      </w:r>
    </w:p>
    <w:p>
      <w:pPr>
        <w:pStyle w:val="BodyText"/>
      </w:pPr>
      <w:r>
        <w:t xml:space="preserve">The following figure plots 100 simulated trajectories for a portfolio with an initial value of $100, an annualized drift of approximately 20 % (µ = 0.0008 daily), and a daily volatility of 1.5 %. The median path and the 5th/95th percentile bands are overlaid.</w:t>
      </w:r>
    </w:p>
    <w:p>
      <w:pPr>
        <w:pStyle w:val="SourceCode"/>
      </w:pPr>
      <w:r>
        <w:rPr>
          <w:rStyle w:val="NormalTok"/>
        </w:rPr>
        <w:t xml:space="preserve">n_sims, n_days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252</w:t>
      </w:r>
      <w:r>
        <w:br/>
      </w:r>
      <w:r>
        <w:rPr>
          <w:rStyle w:val="NormalTok"/>
        </w:rPr>
        <w:t xml:space="preserve">mu, sigma </w:t>
      </w:r>
      <w:r>
        <w:rPr>
          <w:rStyle w:val="OperatorTok"/>
        </w:rPr>
        <w:t xml:space="preserve">=</w:t>
      </w:r>
      <w:r>
        <w:rPr>
          <w:rStyle w:val="NormalTok"/>
        </w:rPr>
        <w:t xml:space="preserve"> </w:t>
      </w:r>
      <w:r>
        <w:rPr>
          <w:rStyle w:val="FloatTok"/>
        </w:rPr>
        <w:t xml:space="preserve">0.0008</w:t>
      </w:r>
      <w:r>
        <w:rPr>
          <w:rStyle w:val="NormalTok"/>
        </w:rPr>
        <w:t xml:space="preserve">, </w:t>
      </w:r>
      <w:r>
        <w:rPr>
          <w:rStyle w:val="FloatTok"/>
        </w:rPr>
        <w:t xml:space="preserve">0.015</w:t>
      </w:r>
      <w:r>
        <w:br/>
      </w:r>
      <w:r>
        <w:rPr>
          <w:rStyle w:val="NormalTok"/>
        </w:rPr>
        <w:t xml:space="preserve">sims </w:t>
      </w:r>
      <w:r>
        <w:rPr>
          <w:rStyle w:val="OperatorTok"/>
        </w:rPr>
        <w:t xml:space="preserve">=</w:t>
      </w:r>
      <w:r>
        <w:rPr>
          <w:rStyle w:val="NormalTok"/>
        </w:rPr>
        <w:t xml:space="preserve"> np.zeros((n_sims, n_days))</w:t>
      </w:r>
      <w:r>
        <w:rPr>
          <w:rStyle w:val="OperatorTok"/>
        </w:rPr>
        <w:t xml:space="preserve">;</w:t>
      </w:r>
      <w:r>
        <w:rPr>
          <w:rStyle w:val="NormalTok"/>
        </w:rPr>
        <w:t xml:space="preserve"> sims[:,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n_days):</w:t>
      </w:r>
      <w:r>
        <w:br/>
      </w:r>
      <w:r>
        <w:rPr>
          <w:rStyle w:val="NormalTok"/>
        </w:rPr>
        <w:t xml:space="preserve">    sims[:, t] </w:t>
      </w:r>
      <w:r>
        <w:rPr>
          <w:rStyle w:val="OperatorTok"/>
        </w:rPr>
        <w:t xml:space="preserve">=</w:t>
      </w:r>
      <w:r>
        <w:rPr>
          <w:rStyle w:val="NormalTok"/>
        </w:rPr>
        <w:t xml:space="preserve"> sims[:, 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np.exp(np.random.normal(mu, sigma, n_sims))</w:t>
      </w:r>
      <w:r>
        <w:br/>
      </w:r>
      <w:r>
        <w:br/>
      </w:r>
      <w:r>
        <w:rPr>
          <w:rStyle w:val="NormalTok"/>
        </w:rPr>
        <w:t xml:space="preserve">median </w:t>
      </w:r>
      <w:r>
        <w:rPr>
          <w:rStyle w:val="OperatorTok"/>
        </w:rPr>
        <w:t xml:space="preserve">=</w:t>
      </w:r>
      <w:r>
        <w:rPr>
          <w:rStyle w:val="NormalTok"/>
        </w:rPr>
        <w:t xml:space="preserve"> np.median(sims, axis</w:t>
      </w:r>
      <w:r>
        <w:rPr>
          <w:rStyle w:val="OperatorTok"/>
        </w:rPr>
        <w:t xml:space="preserve">=</w:t>
      </w:r>
      <w:r>
        <w:rPr>
          <w:rStyle w:val="DecValTok"/>
        </w:rPr>
        <w:t xml:space="preserve">0</w:t>
      </w:r>
      <w:r>
        <w:rPr>
          <w:rStyle w:val="NormalTok"/>
        </w:rPr>
        <w:t xml:space="preserve">)</w:t>
      </w:r>
      <w:r>
        <w:br/>
      </w:r>
      <w:r>
        <w:rPr>
          <w:rStyle w:val="NormalTok"/>
        </w:rPr>
        <w:t xml:space="preserve">p5, p95 </w:t>
      </w:r>
      <w:r>
        <w:rPr>
          <w:rStyle w:val="OperatorTok"/>
        </w:rPr>
        <w:t xml:space="preserve">=</w:t>
      </w:r>
      <w:r>
        <w:rPr>
          <w:rStyle w:val="NormalTok"/>
        </w:rPr>
        <w:t xml:space="preserve"> np.percentile(sims, [</w:t>
      </w:r>
      <w:r>
        <w:rPr>
          <w:rStyle w:val="DecValTok"/>
        </w:rPr>
        <w:t xml:space="preserve">5</w:t>
      </w:r>
      <w:r>
        <w:rPr>
          <w:rStyle w:val="NormalTok"/>
        </w:rPr>
        <w:t xml:space="preserve">, </w:t>
      </w:r>
      <w:r>
        <w:rPr>
          <w:rStyle w:val="DecValTok"/>
        </w:rPr>
        <w:t xml:space="preserve">95</w:t>
      </w:r>
      <w:r>
        <w:rPr>
          <w:rStyle w:val="NormalTok"/>
        </w:rPr>
        <w:t xml:space="preserve">], axis</w:t>
      </w:r>
      <w:r>
        <w:rPr>
          <w:rStyle w:val="OperatorTok"/>
        </w:rPr>
        <w:t xml:space="preserve">=</w:t>
      </w:r>
      <w:r>
        <w:rPr>
          <w:rStyle w:val="DecValTok"/>
        </w:rPr>
        <w:t xml:space="preserve">0</w:t>
      </w:r>
      <w:r>
        <w:rPr>
          <w:rStyle w:val="NormalTok"/>
        </w:rPr>
        <w:t xml:space="preserve">)</w:t>
      </w:r>
    </w:p>
    <w:p>
      <w:pPr>
        <w:pStyle w:val="FirstParagraph"/>
      </w:pPr>
      <w:r>
        <w:t xml:space="preserve">Under these assumptions, the median portfolio value after one year of trading is approximately $122, with a 90 % confidence interval ranging from $92 to $164. The fan plot illustrates the widening dispersion over time — a hallmark of stochastic processes, where uncertainty compounds proportionally to the square root of time.</w:t>
      </w:r>
    </w:p>
    <w:p>
      <w:pPr>
        <w:pStyle w:val="CaptionedFigure"/>
      </w:pPr>
      <w:r>
        <w:drawing>
          <wp:inline>
            <wp:extent cx="5334000" cy="2667000"/>
            <wp:effectExtent b="0" l="0" r="0" t="0"/>
            <wp:docPr descr="Monte Carlo simulation paths" title="" id="68" name="Picture"/>
            <a:graphic>
              <a:graphicData uri="http://schemas.openxmlformats.org/drawingml/2006/picture">
                <pic:pic>
                  <pic:nvPicPr>
                    <pic:cNvPr descr="images/monte-carlo.png" id="69" name="Picture"/>
                    <pic:cNvPicPr>
                      <a:picLocks noChangeArrowheads="1" noChangeAspect="1"/>
                    </pic:cNvPicPr>
                  </pic:nvPicPr>
                  <pic:blipFill>
                    <a:blip r:embed="rId6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Monte Carlo simulation paths</w:t>
      </w:r>
    </w:p>
    <w:bookmarkEnd w:id="70"/>
    <w:bookmarkStart w:id="74" w:name="exhibit-f-sharpe-ratio-heatmap"/>
    <w:p>
      <w:pPr>
        <w:pStyle w:val="Heading2"/>
      </w:pPr>
      <w:r>
        <w:t xml:space="preserve">Exhibit F: Sharpe Ratio Heatmap</w:t>
      </w:r>
    </w:p>
    <w:p>
      <w:pPr>
        <w:pStyle w:val="FirstParagraph"/>
      </w:pPr>
      <w:r>
        <w:t xml:space="preserve">The Sharpe ratio measures risk-adjusted return by dividing the excess return (expected return minus the risk-free rate) by the portfolio’s volatility. It is one of the most widely cited metrics in portfolio analysis.</w:t>
      </w:r>
    </w:p>
    <w:p>
      <w:pPr>
        <w:pStyle w:val="BodyText"/>
      </w:pPr>
      <w:r>
        <w:t xml:space="preserve">The heatmap below visualises the Sharpe ratio across a grid of risk-free rates and volatility assumptions, holding the expected return constant at 12 %. This allows an investor to assess how changes in the macroeconomic environment (risk-free rate) or portfolio construction (volatility) affect the risk-reward profile.</w:t>
      </w:r>
    </w:p>
    <w:p>
      <w:pPr>
        <w:pStyle w:val="SourceCode"/>
      </w:pPr>
      <w:r>
        <w:rPr>
          <w:rStyle w:val="NormalTok"/>
        </w:rPr>
        <w:t xml:space="preserve">rf_rates    </w:t>
      </w:r>
      <w:r>
        <w:rPr>
          <w:rStyle w:val="OperatorTok"/>
        </w:rPr>
        <w:t xml:space="preserve">=</w:t>
      </w:r>
      <w:r>
        <w:rPr>
          <w:rStyle w:val="NormalTok"/>
        </w:rPr>
        <w:t xml:space="preserve"> np.array([</w:t>
      </w:r>
      <w:r>
        <w:rPr>
          <w:rStyle w:val="FloatTok"/>
        </w:rPr>
        <w:t xml:space="preserve">0.02</w:t>
      </w:r>
      <w:r>
        <w:rPr>
          <w:rStyle w:val="NormalTok"/>
        </w:rPr>
        <w:t xml:space="preserve">, </w:t>
      </w:r>
      <w:r>
        <w:rPr>
          <w:rStyle w:val="FloatTok"/>
        </w:rPr>
        <w:t xml:space="preserve">0.03</w:t>
      </w:r>
      <w:r>
        <w:rPr>
          <w:rStyle w:val="NormalTok"/>
        </w:rPr>
        <w:t xml:space="preserve">, </w:t>
      </w:r>
      <w:r>
        <w:rPr>
          <w:rStyle w:val="FloatTok"/>
        </w:rPr>
        <w:t xml:space="preserve">0.04</w:t>
      </w:r>
      <w:r>
        <w:rPr>
          <w:rStyle w:val="NormalTok"/>
        </w:rPr>
        <w:t xml:space="preserve">, </w:t>
      </w:r>
      <w:r>
        <w:rPr>
          <w:rStyle w:val="FloatTok"/>
        </w:rPr>
        <w:t xml:space="preserve">0.05</w:t>
      </w:r>
      <w:r>
        <w:rPr>
          <w:rStyle w:val="NormalTok"/>
        </w:rPr>
        <w:t xml:space="preserve">, </w:t>
      </w:r>
      <w:r>
        <w:rPr>
          <w:rStyle w:val="FloatTok"/>
        </w:rPr>
        <w:t xml:space="preserve">0.06</w:t>
      </w:r>
      <w:r>
        <w:rPr>
          <w:rStyle w:val="NormalTok"/>
        </w:rPr>
        <w:t xml:space="preserve">])</w:t>
      </w:r>
      <w:r>
        <w:br/>
      </w:r>
      <w:r>
        <w:rPr>
          <w:rStyle w:val="NormalTok"/>
        </w:rPr>
        <w:t xml:space="preserve">volatilities </w:t>
      </w:r>
      <w:r>
        <w:rPr>
          <w:rStyle w:val="OperatorTok"/>
        </w:rPr>
        <w:t xml:space="preserve">=</w:t>
      </w:r>
      <w:r>
        <w:rPr>
          <w:rStyle w:val="NormalTok"/>
        </w:rPr>
        <w:t xml:space="preserve"> np.array([</w:t>
      </w:r>
      <w:r>
        <w:rPr>
          <w:rStyle w:val="FloatTok"/>
        </w:rPr>
        <w:t xml:space="preserve">0.10</w:t>
      </w:r>
      <w:r>
        <w:rPr>
          <w:rStyle w:val="NormalTok"/>
        </w:rPr>
        <w:t xml:space="preserve">, </w:t>
      </w:r>
      <w:r>
        <w:rPr>
          <w:rStyle w:val="FloatTok"/>
        </w:rPr>
        <w:t xml:space="preserve">0.12</w:t>
      </w:r>
      <w:r>
        <w:rPr>
          <w:rStyle w:val="NormalTok"/>
        </w:rPr>
        <w:t xml:space="preserve">, </w:t>
      </w:r>
      <w:r>
        <w:rPr>
          <w:rStyle w:val="FloatTok"/>
        </w:rPr>
        <w:t xml:space="preserve">0.14</w:t>
      </w:r>
      <w:r>
        <w:rPr>
          <w:rStyle w:val="NormalTok"/>
        </w:rPr>
        <w:t xml:space="preserve">, </w:t>
      </w:r>
      <w:r>
        <w:rPr>
          <w:rStyle w:val="FloatTok"/>
        </w:rPr>
        <w:t xml:space="preserve">0.16</w:t>
      </w:r>
      <w:r>
        <w:rPr>
          <w:rStyle w:val="NormalTok"/>
        </w:rPr>
        <w:t xml:space="preserve">, </w:t>
      </w:r>
      <w:r>
        <w:rPr>
          <w:rStyle w:val="FloatTok"/>
        </w:rPr>
        <w:t xml:space="preserve">0.18</w:t>
      </w:r>
      <w:r>
        <w:rPr>
          <w:rStyle w:val="NormalTok"/>
        </w:rPr>
        <w:t xml:space="preserve">, </w:t>
      </w:r>
      <w:r>
        <w:rPr>
          <w:rStyle w:val="FloatTok"/>
        </w:rPr>
        <w:t xml:space="preserve">0.20</w:t>
      </w:r>
      <w:r>
        <w:rPr>
          <w:rStyle w:val="NormalTok"/>
        </w:rPr>
        <w:t xml:space="preserve">])</w:t>
      </w:r>
      <w:r>
        <w:br/>
      </w:r>
      <w:r>
        <w:rPr>
          <w:rStyle w:val="NormalTok"/>
        </w:rPr>
        <w:t xml:space="preserve">expected_return </w:t>
      </w:r>
      <w:r>
        <w:rPr>
          <w:rStyle w:val="OperatorTok"/>
        </w:rPr>
        <w:t xml:space="preserve">=</w:t>
      </w:r>
      <w:r>
        <w:rPr>
          <w:rStyle w:val="NormalTok"/>
        </w:rPr>
        <w:t xml:space="preserve"> </w:t>
      </w:r>
      <w:r>
        <w:rPr>
          <w:rStyle w:val="FloatTok"/>
        </w:rPr>
        <w:t xml:space="preserve">0.12</w:t>
      </w:r>
      <w:r>
        <w:br/>
      </w:r>
      <w:r>
        <w:br/>
      </w:r>
      <w:r>
        <w:rPr>
          <w:rStyle w:val="NormalTok"/>
        </w:rPr>
        <w:t xml:space="preserve">sharpe </w:t>
      </w:r>
      <w:r>
        <w:rPr>
          <w:rStyle w:val="OperatorTok"/>
        </w:rPr>
        <w:t xml:space="preserve">=</w:t>
      </w:r>
      <w:r>
        <w:rPr>
          <w:rStyle w:val="NormalTok"/>
        </w:rPr>
        <w:t xml:space="preserve"> np.zeros((</w:t>
      </w:r>
      <w:r>
        <w:rPr>
          <w:rStyle w:val="BuiltInTok"/>
        </w:rPr>
        <w:t xml:space="preserve">len</w:t>
      </w:r>
      <w:r>
        <w:rPr>
          <w:rStyle w:val="NormalTok"/>
        </w:rPr>
        <w:t xml:space="preserve">(rf_rates), </w:t>
      </w:r>
      <w:r>
        <w:rPr>
          <w:rStyle w:val="BuiltInTok"/>
        </w:rPr>
        <w:t xml:space="preserve">len</w:t>
      </w:r>
      <w:r>
        <w:rPr>
          <w:rStyle w:val="NormalTok"/>
        </w:rPr>
        <w:t xml:space="preserve">(volatilities)))</w:t>
      </w:r>
      <w:r>
        <w:br/>
      </w:r>
      <w:r>
        <w:rPr>
          <w:rStyle w:val="ControlFlowTok"/>
        </w:rPr>
        <w:t xml:space="preserve">for</w:t>
      </w:r>
      <w:r>
        <w:rPr>
          <w:rStyle w:val="NormalTok"/>
        </w:rPr>
        <w:t xml:space="preserve"> i, rf </w:t>
      </w:r>
      <w:r>
        <w:rPr>
          <w:rStyle w:val="KeywordTok"/>
        </w:rPr>
        <w:t xml:space="preserve">in</w:t>
      </w:r>
      <w:r>
        <w:rPr>
          <w:rStyle w:val="NormalTok"/>
        </w:rPr>
        <w:t xml:space="preserve"> </w:t>
      </w:r>
      <w:r>
        <w:rPr>
          <w:rStyle w:val="BuiltInTok"/>
        </w:rPr>
        <w:t xml:space="preserve">enumerate</w:t>
      </w:r>
      <w:r>
        <w:rPr>
          <w:rStyle w:val="NormalTok"/>
        </w:rPr>
        <w:t xml:space="preserve">(rf_rates):</w:t>
      </w:r>
      <w:r>
        <w:br/>
      </w:r>
      <w:r>
        <w:rPr>
          <w:rStyle w:val="NormalTok"/>
        </w:rPr>
        <w:t xml:space="preserve">    </w:t>
      </w:r>
      <w:r>
        <w:rPr>
          <w:rStyle w:val="ControlFlowTok"/>
        </w:rPr>
        <w:t xml:space="preserve">for</w:t>
      </w:r>
      <w:r>
        <w:rPr>
          <w:rStyle w:val="NormalTok"/>
        </w:rPr>
        <w:t xml:space="preserve"> j, vol </w:t>
      </w:r>
      <w:r>
        <w:rPr>
          <w:rStyle w:val="KeywordTok"/>
        </w:rPr>
        <w:t xml:space="preserve">in</w:t>
      </w:r>
      <w:r>
        <w:rPr>
          <w:rStyle w:val="NormalTok"/>
        </w:rPr>
        <w:t xml:space="preserve"> </w:t>
      </w:r>
      <w:r>
        <w:rPr>
          <w:rStyle w:val="BuiltInTok"/>
        </w:rPr>
        <w:t xml:space="preserve">enumerate</w:t>
      </w:r>
      <w:r>
        <w:rPr>
          <w:rStyle w:val="NormalTok"/>
        </w:rPr>
        <w:t xml:space="preserve">(volatilities):</w:t>
      </w:r>
      <w:r>
        <w:br/>
      </w:r>
      <w:r>
        <w:rPr>
          <w:rStyle w:val="NormalTok"/>
        </w:rPr>
        <w:t xml:space="preserve">        sharpe[i, j] </w:t>
      </w:r>
      <w:r>
        <w:rPr>
          <w:rStyle w:val="OperatorTok"/>
        </w:rPr>
        <w:t xml:space="preserve">=</w:t>
      </w:r>
      <w:r>
        <w:rPr>
          <w:rStyle w:val="NormalTok"/>
        </w:rPr>
        <w:t xml:space="preserve"> (expected_return </w:t>
      </w:r>
      <w:r>
        <w:rPr>
          <w:rStyle w:val="OperatorTok"/>
        </w:rPr>
        <w:t xml:space="preserve">-</w:t>
      </w:r>
      <w:r>
        <w:rPr>
          <w:rStyle w:val="NormalTok"/>
        </w:rPr>
        <w:t xml:space="preserve"> rf) </w:t>
      </w:r>
      <w:r>
        <w:rPr>
          <w:rStyle w:val="OperatorTok"/>
        </w:rPr>
        <w:t xml:space="preserve">/</w:t>
      </w:r>
      <w:r>
        <w:rPr>
          <w:rStyle w:val="NormalTok"/>
        </w:rPr>
        <w:t xml:space="preserve"> vol</w:t>
      </w:r>
    </w:p>
    <w:p>
      <w:pPr>
        <w:pStyle w:val="FirstParagraph"/>
      </w:pPr>
      <w:r>
        <w:t xml:space="preserve">At the lowest risk-free rate (2 %) and volatility (10 %), the Sharpe ratio reaches 1.00, indicating a favourable risk-return trade-off. As either parameter increases, the ratio declines monotonically. Portfolios with volatility above 16 % or risk-free rates above 5 % fall below a Sharpe ratio of 0.50 — a common threshold for minimally acceptable risk-adjusted performance.</w:t>
      </w:r>
    </w:p>
    <w:p>
      <w:pPr>
        <w:pStyle w:val="CaptionedFigure"/>
      </w:pPr>
      <w:r>
        <w:drawing>
          <wp:inline>
            <wp:extent cx="5334000" cy="2963333"/>
            <wp:effectExtent b="0" l="0" r="0" t="0"/>
            <wp:docPr descr="Sharpe ratio heatmap" title="" id="72" name="Picture"/>
            <a:graphic>
              <a:graphicData uri="http://schemas.openxmlformats.org/drawingml/2006/picture">
                <pic:pic>
                  <pic:nvPicPr>
                    <pic:cNvPr descr="images/sharpe-heatmap.png" id="73" name="Picture"/>
                    <pic:cNvPicPr>
                      <a:picLocks noChangeArrowheads="1" noChangeAspect="1"/>
                    </pic:cNvPicPr>
                  </pic:nvPicPr>
                  <pic:blipFill>
                    <a:blip r:embed="rId7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Sharpe ratio heatmap</w:t>
      </w:r>
    </w:p>
    <w:bookmarkEnd w:id="74"/>
    <w:bookmarkEnd w:id="75"/>
    <w:bookmarkStart w:id="76" w:name="conclusion"/>
    <w:p>
      <w:pPr>
        <w:pStyle w:val="Heading1"/>
        <w:pageBreakBefore/>
      </w:pPr>
      <w:r>
        <w:t xml:space="preserve">Conclusion</w:t>
      </w:r>
    </w:p>
    <w:p>
      <w:pPr>
        <w:pStyle w:val="FirstParagraph"/>
      </w:pPr>
      <w:r>
        <w:t xml:space="preserve">This sample document exercises nearly every feature that can appear in a typical markdown-to-PDF workflow, including embedded images of financial charts. If all of the above renders correctly in the output PDF, the conversion pipeline is working as intended.</w:t>
      </w:r>
    </w:p>
    <w:p>
      <w:pPr>
        <w:pStyle w:val="BodyText"/>
      </w:pPr>
      <w:r>
        <w:t xml:space="preserve">With the</w:t>
      </w:r>
      <w:r>
        <w:t xml:space="preserve"> </w:t>
      </w:r>
      <w:r>
        <w:rPr>
          <w:rStyle w:val="VerbatimChar"/>
        </w:rPr>
        <w:t xml:space="preserve">page_breaks: sections</w:t>
      </w:r>
      <w:r>
        <w:t xml:space="preserve"> </w:t>
      </w:r>
      <w:r>
        <w:t xml:space="preserve">feature, each section above starts on a new page, giving this document a professional book-style layout suitable for formal reports and publications.</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First footnote with additional explanation.</w:t>
      </w:r>
    </w:p>
  </w:footnote>
  <w:footnote w:id="37">
    <w:p>
      <w:pPr>
        <w:pStyle w:val="FootnoteText"/>
      </w:pPr>
      <w:r>
        <w:rPr>
          <w:rStyle w:val="FootnoteReference"/>
        </w:rPr>
        <w:footnoteRef/>
      </w:r>
      <w:r>
        <w:t xml:space="preserve"> </w:t>
      </w:r>
      <w:r>
        <w:t xml:space="preserve">Second footnote providing supplementary reference information.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ascii="Arial" w:hAnsi="Arial" w:cs="Arial" w:eastAsia="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rPr>
  </w:style>
  <w:style w:styleId="BodyText" w:type="paragraph">
    <w:name w:val="Body Text"/>
    <w:basedOn w:val="Normal"/>
    <w:link w:val="BodyTextChar"/>
    <w:pPr>
      <w:spacing w:after="180" w:before="180"/>
    </w:pPr>
    <w:qFormat/>
    <w:rPr>
      <w:rFonts w:ascii="Arial" w:hAnsi="Arial" w:cs="Arial" w:eastAsia="Arial"/>
    </w:rPr>
  </w:style>
  <w:style w:customStyle="1" w:styleId="FirstParagraph" w:type="paragraph">
    <w:name w:val="First Paragraph"/>
    <w:basedOn w:val="BodyText"/>
    <w:next w:val="BodyText"/>
    <w:qFormat/>
    <w:rPr>
      <w:rFonts w:ascii="Arial" w:hAnsi="Arial" w:cs="Arial" w:eastAsia="Arial"/>
    </w:rPr>
  </w:style>
  <w:style w:customStyle="1" w:styleId="Compact" w:type="paragraph">
    <w:name w:val="Compact"/>
    <w:basedOn w:val="BodyText"/>
    <w:qFormat/>
    <w:pPr>
      <w:spacing w:after="36" w:before="36"/>
    </w:pPr>
    <w:rPr>
      <w:rFonts w:ascii="Arial" w:hAnsi="Arial" w:cs="Arial" w:eastAsia="Arial"/>
    </w:rPr>
  </w:style>
  <w:style w:styleId="Title" w:type="paragraph">
    <w:name w:val="Title"/>
    <w:basedOn w:val="Normal"/>
    <w:next w:val="BodyText"/>
    <w:qFormat/>
    <w:pPr>
      <w:keepNext/>
      <w:keepLines/>
      <w:spacing w:after="240" w:before="480"/>
      <w:jc w:val="center"/>
      <w:ind w:right="3600"/>
    </w:pPr>
    <w:rPr>
      <w:rFonts w:asciiTheme="majorHAnsi" w:cstheme="majorBidi" w:eastAsiaTheme="majorEastAsia" w:hAnsiTheme="majorHAnsi" w:ascii="Arial" w:hAnsi="Arial" w:cs="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ind w:right="3600"/>
    </w:pPr>
    <w:rPr>
      <w:sz w:val="30"/>
      <w:szCs w:val="30"/>
      <w:rFonts w:ascii="Arial" w:hAnsi="Arial" w:cs="Arial" w:eastAsia="Arial"/>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Arial" w:hAnsi="Arial" w:cs="Arial" w:eastAsia="Arial"/>
    </w:rPr>
  </w:style>
  <w:style w:customStyle="1" w:styleId="Abstract" w:type="paragraph">
    <w:name w:val="Abstract"/>
    <w:basedOn w:val="Normal"/>
    <w:next w:val="BodyText"/>
    <w:qFormat/>
    <w:pPr>
      <w:keepNext/>
      <w:keepLines/>
      <w:spacing w:after="300" w:before="100"/>
    </w:pPr>
    <w:rPr>
      <w:sz w:val="20"/>
      <w:szCs w:val="20"/>
      <w:rFonts w:ascii="Arial" w:hAnsi="Arial" w:cs="Arial" w:eastAsia="Arial"/>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spacing w:after="0" w:before="200"/>
    </w:pPr>
    <w:rPr>
      <w:rFonts w:asciiTheme="majorHAnsi" w:cstheme="majorBidi" w:eastAsiaTheme="majorEastAsia" w:hAnsiTheme="majorHAnsi"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Arial" w:hAnsi="Arial" w:cs="Arial" w:eastAsia="Arial"/>
    </w:rPr>
  </w:style>
  <w:style w:customStyle="1" w:styleId="DefinitionTerm" w:type="paragraph">
    <w:name w:val="Definition Term"/>
    <w:basedOn w:val="Normal"/>
    <w:next w:val="Definition"/>
    <w:pPr>
      <w:keepNext/>
      <w:keepLines/>
      <w:spacing w:after="0"/>
    </w:pPr>
    <w:rPr>
      <w:b/>
      <w:rFonts w:ascii="Arial" w:hAnsi="Arial" w:cs="Arial" w:eastAsia="Arial"/>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i/>
      <w:rFonts w:ascii="Arial" w:hAnsi="Arial" w:cs="Arial" w:eastAsia="Arial"/>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Inconsolata" w:hAnsi="Inconsolata" w:cs="Inconsolata"/>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vertAlign w:val="superscript"/>
      <w:rFonts w:ascii="Arial" w:hAnsi="Arial" w:cs="Arial" w:eastAsia="Arial"/>
    </w:rPr>
  </w:style>
  <w:style w:styleId="Hyperlink" w:type="character">
    <w:name w:val="Hyperlink"/>
    <w:basedOn w:val="BodyTextChar"/>
    <w:rPr>
      <w:color w:themeColor="accent1" w:val="4F81BD"/>
      <w:rFonts w:ascii="Arial" w:hAnsi="Arial" w:cs="Arial" w:eastAsia="Arial"/>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Inconsolata" w:hAnsi="Inconsolata" w:cs="Inconsolata"/>
    </w:rPr>
  </w:style>
  <w:style w:type="character" w:customStyle="1" w:styleId="KeywordTok">
    <w:name w:val="KeywordTok"/>
    <w:basedOn w:val="VerbatimChar"/>
    <w:rPr>
      <w:color w:val="007020"/>
      <w:b/>
      <w:rFonts w:ascii="Inconsolata" w:hAnsi="Inconsolata" w:cs="Inconsolata"/>
    </w:rPr>
  </w:style>
  <w:style w:type="character" w:customStyle="1" w:styleId="DataTypeTok">
    <w:name w:val="DataTypeTok"/>
    <w:basedOn w:val="VerbatimChar"/>
    <w:rPr>
      <w:color w:val="902000"/>
      <w:rFonts w:ascii="Inconsolata" w:hAnsi="Inconsolata" w:cs="Inconsolata"/>
    </w:rPr>
  </w:style>
  <w:style w:type="character" w:customStyle="1" w:styleId="DecValTok">
    <w:name w:val="DecValTok"/>
    <w:basedOn w:val="VerbatimChar"/>
    <w:rPr>
      <w:color w:val="40a070"/>
      <w:rFonts w:ascii="Inconsolata" w:hAnsi="Inconsolata" w:cs="Inconsolata"/>
    </w:rPr>
  </w:style>
  <w:style w:type="character" w:customStyle="1" w:styleId="BaseNTok">
    <w:name w:val="BaseNTok"/>
    <w:basedOn w:val="VerbatimChar"/>
    <w:rPr>
      <w:color w:val="40a070"/>
      <w:rFonts w:ascii="Inconsolata" w:hAnsi="Inconsolata" w:cs="Inconsolata"/>
    </w:rPr>
  </w:style>
  <w:style w:type="character" w:customStyle="1" w:styleId="FloatTok">
    <w:name w:val="FloatTok"/>
    <w:basedOn w:val="VerbatimChar"/>
    <w:rPr>
      <w:color w:val="40a070"/>
      <w:rFonts w:ascii="Inconsolata" w:hAnsi="Inconsolata" w:cs="Inconsolata"/>
    </w:rPr>
  </w:style>
  <w:style w:type="character" w:customStyle="1" w:styleId="ConstantTok">
    <w:name w:val="ConstantTok"/>
    <w:basedOn w:val="VerbatimChar"/>
    <w:rPr>
      <w:color w:val="880000"/>
      <w:rFonts w:ascii="Inconsolata" w:hAnsi="Inconsolata" w:cs="Inconsolata"/>
    </w:rPr>
  </w:style>
  <w:style w:type="character" w:customStyle="1" w:styleId="CharTok">
    <w:name w:val="CharTok"/>
    <w:basedOn w:val="VerbatimChar"/>
    <w:rPr>
      <w:color w:val="4070a0"/>
      <w:rFonts w:ascii="Inconsolata" w:hAnsi="Inconsolata" w:cs="Inconsolata"/>
    </w:rPr>
  </w:style>
  <w:style w:type="character" w:customStyle="1" w:styleId="SpecialCharTok">
    <w:name w:val="SpecialCharTok"/>
    <w:basedOn w:val="VerbatimChar"/>
    <w:rPr>
      <w:color w:val="4070a0"/>
      <w:rFonts w:ascii="Inconsolata" w:hAnsi="Inconsolata" w:cs="Inconsolata"/>
    </w:rPr>
  </w:style>
  <w:style w:type="character" w:customStyle="1" w:styleId="StringTok">
    <w:name w:val="StringTok"/>
    <w:basedOn w:val="VerbatimChar"/>
    <w:rPr>
      <w:color w:val="4070a0"/>
      <w:rFonts w:ascii="Inconsolata" w:hAnsi="Inconsolata" w:cs="Inconsolata"/>
    </w:rPr>
  </w:style>
  <w:style w:type="character" w:customStyle="1" w:styleId="VerbatimStringTok">
    <w:name w:val="VerbatimStringTok"/>
    <w:basedOn w:val="VerbatimChar"/>
    <w:rPr>
      <w:color w:val="4070a0"/>
      <w:rFonts w:ascii="Inconsolata" w:hAnsi="Inconsolata" w:cs="Inconsolata"/>
    </w:rPr>
  </w:style>
  <w:style w:type="character" w:customStyle="1" w:styleId="SpecialStringTok">
    <w:name w:val="SpecialStringTok"/>
    <w:basedOn w:val="VerbatimChar"/>
    <w:rPr>
      <w:color w:val="bb6688"/>
      <w:rFonts w:ascii="Inconsolata" w:hAnsi="Inconsolata" w:cs="Inconsolata"/>
    </w:rPr>
  </w:style>
  <w:style w:type="character" w:customStyle="1" w:styleId="ImportTok">
    <w:name w:val="ImportTok"/>
    <w:basedOn w:val="VerbatimChar"/>
    <w:rPr>
      <w:color w:val="008000"/>
      <w:b/>
      <w:rFonts w:ascii="Inconsolata" w:hAnsi="Inconsolata" w:cs="Inconsolata"/>
    </w:rPr>
  </w:style>
  <w:style w:type="character" w:customStyle="1" w:styleId="CommentTok">
    <w:name w:val="CommentTok"/>
    <w:basedOn w:val="VerbatimChar"/>
    <w:rPr>
      <w:color w:val="60a0b0"/>
      <w:i/>
      <w:rFonts w:ascii="Inconsolata" w:hAnsi="Inconsolata" w:cs="Inconsolata"/>
    </w:rPr>
  </w:style>
  <w:style w:type="character" w:customStyle="1" w:styleId="DocumentationTok">
    <w:name w:val="DocumentationTok"/>
    <w:basedOn w:val="VerbatimChar"/>
    <w:rPr>
      <w:color w:val="ba2121"/>
      <w:i/>
      <w:rFonts w:ascii="Inconsolata" w:hAnsi="Inconsolata" w:cs="Inconsolata"/>
    </w:rPr>
  </w:style>
  <w:style w:type="character" w:customStyle="1" w:styleId="AnnotationTok">
    <w:name w:val="AnnotationTok"/>
    <w:basedOn w:val="VerbatimChar"/>
    <w:rPr>
      <w:color w:val="60a0b0"/>
      <w:b/>
      <w:i/>
      <w:rFonts w:ascii="Inconsolata" w:hAnsi="Inconsolata" w:cs="Inconsolata"/>
    </w:rPr>
  </w:style>
  <w:style w:type="character" w:customStyle="1" w:styleId="CommentVarTok">
    <w:name w:val="CommentVarTok"/>
    <w:basedOn w:val="VerbatimChar"/>
    <w:rPr>
      <w:color w:val="60a0b0"/>
      <w:b/>
      <w:i/>
      <w:rFonts w:ascii="Inconsolata" w:hAnsi="Inconsolata" w:cs="Inconsolata"/>
    </w:rPr>
  </w:style>
  <w:style w:type="character" w:customStyle="1" w:styleId="OtherTok">
    <w:name w:val="OtherTok"/>
    <w:basedOn w:val="VerbatimChar"/>
    <w:rPr>
      <w:color w:val="007020"/>
      <w:rFonts w:ascii="Inconsolata" w:hAnsi="Inconsolata" w:cs="Inconsolata"/>
    </w:rPr>
  </w:style>
  <w:style w:type="character" w:customStyle="1" w:styleId="FunctionTok">
    <w:name w:val="FunctionTok"/>
    <w:basedOn w:val="VerbatimChar"/>
    <w:rPr>
      <w:color w:val="06287e"/>
      <w:rFonts w:ascii="Inconsolata" w:hAnsi="Inconsolata" w:cs="Inconsolata"/>
    </w:rPr>
  </w:style>
  <w:style w:type="character" w:customStyle="1" w:styleId="VariableTok">
    <w:name w:val="VariableTok"/>
    <w:basedOn w:val="VerbatimChar"/>
    <w:rPr>
      <w:color w:val="19177c"/>
      <w:rFonts w:ascii="Inconsolata" w:hAnsi="Inconsolata" w:cs="Inconsolata"/>
    </w:rPr>
  </w:style>
  <w:style w:type="character" w:customStyle="1" w:styleId="ControlFlowTok">
    <w:name w:val="ControlFlowTok"/>
    <w:basedOn w:val="VerbatimChar"/>
    <w:rPr>
      <w:color w:val="007020"/>
      <w:b/>
      <w:rFonts w:ascii="Inconsolata" w:hAnsi="Inconsolata" w:cs="Inconsolata"/>
    </w:rPr>
  </w:style>
  <w:style w:type="character" w:customStyle="1" w:styleId="OperatorTok">
    <w:name w:val="OperatorTok"/>
    <w:basedOn w:val="VerbatimChar"/>
    <w:rPr>
      <w:color w:val="666666"/>
      <w:rFonts w:ascii="Inconsolata" w:hAnsi="Inconsolata" w:cs="Inconsolata"/>
    </w:rPr>
  </w:style>
  <w:style w:type="character" w:customStyle="1" w:styleId="BuiltInTok">
    <w:name w:val="BuiltInTok"/>
    <w:basedOn w:val="VerbatimChar"/>
    <w:rPr>
      <w:color w:val="008000"/>
      <w:rFonts w:ascii="Inconsolata" w:hAnsi="Inconsolata" w:cs="Inconsolata"/>
    </w:rPr>
  </w:style>
  <w:style w:type="character" w:customStyle="1" w:styleId="ExtensionTok">
    <w:name w:val="ExtensionTok"/>
    <w:basedOn w:val="VerbatimChar"/>
    <w:rPr>
      <w:rFonts w:ascii="Inconsolata" w:hAnsi="Inconsolata" w:cs="Inconsolata"/>
    </w:rPr>
  </w:style>
  <w:style w:type="character" w:customStyle="1" w:styleId="PreprocessorTok">
    <w:name w:val="PreprocessorTok"/>
    <w:basedOn w:val="VerbatimChar"/>
    <w:rPr>
      <w:color w:val="bc7a00"/>
      <w:rFonts w:ascii="Inconsolata" w:hAnsi="Inconsolata" w:cs="Inconsolata"/>
    </w:rPr>
  </w:style>
  <w:style w:type="character" w:customStyle="1" w:styleId="AttributeTok">
    <w:name w:val="AttributeTok"/>
    <w:basedOn w:val="VerbatimChar"/>
    <w:rPr>
      <w:color w:val="7d9029"/>
      <w:rFonts w:ascii="Inconsolata" w:hAnsi="Inconsolata" w:cs="Inconsolata"/>
    </w:rPr>
  </w:style>
  <w:style w:type="character" w:customStyle="1" w:styleId="RegionMarkerTok">
    <w:name w:val="RegionMarkerTok"/>
    <w:basedOn w:val="VerbatimChar"/>
    <w:rPr>
      <w:rFonts w:ascii="Inconsolata" w:hAnsi="Inconsolata" w:cs="Inconsolata"/>
    </w:rPr>
  </w:style>
  <w:style w:type="character" w:customStyle="1" w:styleId="InformationTok">
    <w:name w:val="InformationTok"/>
    <w:basedOn w:val="VerbatimChar"/>
    <w:rPr>
      <w:color w:val="60a0b0"/>
      <w:b/>
      <w:i/>
      <w:rFonts w:ascii="Inconsolata" w:hAnsi="Inconsolata" w:cs="Inconsolata"/>
    </w:rPr>
  </w:style>
  <w:style w:type="character" w:customStyle="1" w:styleId="WarningTok">
    <w:name w:val="WarningTok"/>
    <w:basedOn w:val="VerbatimChar"/>
    <w:rPr>
      <w:color w:val="60a0b0"/>
      <w:b/>
      <w:i/>
      <w:rFonts w:ascii="Inconsolata" w:hAnsi="Inconsolata" w:cs="Inconsolata"/>
    </w:rPr>
  </w:style>
  <w:style w:type="character" w:customStyle="1" w:styleId="AlertTok">
    <w:name w:val="AlertTok"/>
    <w:basedOn w:val="VerbatimChar"/>
    <w:rPr>
      <w:color w:val="ff0000"/>
      <w:b/>
      <w:rFonts w:ascii="Inconsolata" w:hAnsi="Inconsolata" w:cs="Inconsolata"/>
    </w:rPr>
  </w:style>
  <w:style w:type="character" w:customStyle="1" w:styleId="ErrorTok">
    <w:name w:val="ErrorTok"/>
    <w:basedOn w:val="VerbatimChar"/>
    <w:rPr>
      <w:color w:val="ff0000"/>
      <w:b/>
      <w:rFonts w:ascii="Inconsolata" w:hAnsi="Inconsolata" w:cs="Inconsolata"/>
    </w:rPr>
  </w:style>
  <w:style w:type="character" w:customStyle="1" w:styleId="NormalTok">
    <w:name w:val="NormalTok"/>
    <w:basedOn w:val="VerbatimChar"/>
    <w:rPr>
      <w:rFonts w:ascii="Inconsolata" w:hAnsi="Inconsolata" w:cs="Inconsolata"/>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67" Target="media/rId67.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71" Target="media/rId71.png" /><Relationship Type="http://schemas.openxmlformats.org/officeDocument/2006/relationships/hyperlink" Id="rId40" Target="https://docs.github.com/en/actions" TargetMode="External" /><Relationship Type="http://schemas.openxmlformats.org/officeDocument/2006/relationships/hyperlink" Id="rId41" Target="https://pandoc.org/MANUAL.html" TargetMode="External" /><Relationship Type="http://schemas.openxmlformats.org/officeDocument/2006/relationships/hyperlink" Id="rId42" Target="https://www.libreoffice.org/" TargetMode="External" /></Relationships>
</file>

<file path=word/_rels/footnotes.xml.rels><?xml version="1.0" encoding="UTF-8"?><Relationships xmlns="http://schemas.openxmlformats.org/package/2006/relationships"><Relationship Type="http://schemas.openxmlformats.org/officeDocument/2006/relationships/hyperlink" Id="rId40" Target="https://docs.github.com/en/actions" TargetMode="External" /><Relationship Type="http://schemas.openxmlformats.org/officeDocument/2006/relationships/hyperlink" Id="rId41" Target="https://pandoc.org/MANUAL.html" TargetMode="External" /><Relationship Type="http://schemas.openxmlformats.org/officeDocument/2006/relationships/hyperlink" Id="rId42" Target="https://www.libreoffic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2026-07-29T16:24:16Z</dcterms:created>
  <dcterms:modified xsi:type="dcterms:W3CDTF">2026-07-29T16:24:16Z</dcterms:modified>
</cp:coreProperties>
</file>

<file path=docProps/custom.xml><?xml version="1.0" encoding="utf-8"?>
<Properties xmlns="http://schemas.openxmlformats.org/officeDocument/2006/custom-properties" xmlns:vt="http://schemas.openxmlformats.org/officeDocument/2006/docPropsVTypes"/>
</file>