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65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>
  <w:body>
    <w:bookmarkStart w:id="75" w:name="comprehensive-markdown-to-pdf-sample"/>
    <w:p>
      <w:pPr>
        <w:pStyle w:val="Heading1"/>
      </w:pPr>
      <w:r>
        <w:t xml:space="preserve">Comprehensive Markdown to PDF Sample</w:t>
      </w:r>
    </w:p>
    <w:p>
      <w:pPr>
        <w:pStyle w:val="FirstParagraph"/>
      </w:pPr>
      <w:r>
        <w:t xml:space="preserve">This document demonstrates the full range of formatting features supported by the</w:t>
      </w:r>
      <w:r>
        <w:t xml:space="preserve"> </w:t>
      </w:r>
      <w:r>
        <w:rPr>
          <w:bCs/>
          <w:b/>
        </w:rPr>
        <w:t xml:space="preserve">Markdown-to-PDF</w:t>
      </w:r>
      <w:r>
        <w:t xml:space="preserve"> </w:t>
      </w:r>
      <w:r>
        <w:t xml:space="preserve">action, with an emphasis on tables and document structure.</w:t>
      </w:r>
    </w:p>
    <w:p>
      <w:r>
        <w:pict>
          <v:rect style="width:0;height:1.5pt" o:hralign="center" o:hrstd="t" o:hr="t"/>
        </w:pict>
      </w:r>
    </w:p>
    <w:bookmarkStart w:id="24" w:name="tables"/>
    <w:p>
      <w:pPr>
        <w:pStyle w:val="Heading2"/>
      </w:pPr>
      <w:r>
        <w:t xml:space="preserve">Tables</w:t>
      </w:r>
    </w:p>
    <w:bookmarkStart w:id="20" w:name="simple-table"/>
    <w:p>
      <w:pPr>
        <w:pStyle w:val="Heading3"/>
      </w:pPr>
      <w:r>
        <w:t xml:space="preserve">Simple Table</w:t>
      </w:r>
    </w:p>
    <w:tbl>
      <w:tblPr>
        <w:tblStyle w:val="TableNormal"/>
        <w:tblW w:type="pct" w:w="5000"/>
        <w:tblLook w:firstRow="1" w:lastRow="0" w:firstColumn="0" w:lastColumn="0" w:noHBand="0" w:noVBand="0" w:val="0020"/>
        <w:jc w:val="start"/>
        <w:tblLayout w:type="autofi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GPL-2.0+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LibreOffice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Carlito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OFL</w:t>
            </w:r>
          </w:p>
        </w:tc>
      </w:tr>
    </w:tbl>
    <w:bookmarkEnd w:id="20"/>
    <w:bookmarkStart w:id="21" w:name="table-with-alignment"/>
    <w:p>
      <w:pPr>
        <w:pStyle w:val="Heading3"/>
      </w:pPr>
      <w:r>
        <w:t xml:space="preserve">Table with Alignment</w:t>
      </w:r>
    </w:p>
    <w:tbl>
      <w:tblPr>
        <w:tblStyle w:val="TableNormal"/>
        <w:tblW w:type="pct" w:w="5000"/>
        <w:tblLook w:firstRow="1" w:lastRow="0" w:firstColumn="0" w:lastColumn="0" w:noHBand="0" w:noVBand="0" w:val="0020"/>
        <w:jc w:val="start"/>
        <w:tblLayout w:type="autofi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Left-aligned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Center-aligned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Right-aligned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Bananas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Cherries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$24.99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$3.75</w:t>
            </w:r>
          </w:p>
        </w:tc>
      </w:tr>
    </w:tbl>
    <w:bookmarkEnd w:id="21"/>
    <w:bookmarkStart w:id="22" w:name="table-with-long-text-content"/>
    <w:p>
      <w:pPr>
        <w:pStyle w:val="Heading3"/>
      </w:pPr>
      <w:r>
        <w:t xml:space="preserve">Table with Long Text Content</w:t>
      </w:r>
    </w:p>
    <w:tbl>
      <w:tblPr>
        <w:tblStyle w:val="TableNormal"/>
        <w:tblW w:type="pct" w:w="5000"/>
        <w:tblLook w:firstRow="1" w:lastRow="0" w:firstColumn="0" w:lastColumn="0" w:noHBand="0" w:noVBand="0" w:val="0020"/>
        <w:jc w:val="start"/>
        <w:tblLayout w:type="autofi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auto-width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are automatically resized to fit the page width using percentage-based width.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substitution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Calibri is replaced with Carlito, a metric-compatible font.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Visible borders are added to tables that would otherwise render borderless.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label text boxes in headers are widened to fit the full 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Heading2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LibreOffice character-wrap bug in Heading2 is fixed by removing keepLines.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</w:tbl>
    <w:bookmarkEnd w:id="22"/>
    <w:bookmarkStart w:id="23" w:name="wider-table-8-columns"/>
    <w:p>
      <w:pPr>
        <w:pStyle w:val="Heading3"/>
      </w:pPr>
      <w:r>
        <w:t xml:space="preserve">Wider Table (8 columns)</w:t>
      </w:r>
    </w:p>
    <w:tbl>
      <w:tblPr>
        <w:tblStyle w:val="TableNormal"/>
        <w:tblW w:type="pct" w:w="5000"/>
        <w:tblLook w:firstRow="1" w:lastRow="0" w:firstColumn="0" w:lastColumn="0" w:noHBand="0" w:noVBand="0" w:val="0020"/>
        <w:jc w:val="start"/>
        <w:tblLayout w:type="autofi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LP-2024-001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Wireless 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WM-2024-042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UH-2024-087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MK-2024-054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Webcam 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WH-2024-031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27in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M27-2024-015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1TB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SSD-2024-068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32GB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RAM-2024-042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text-formatting"/>
    <w:p>
      <w:pPr>
        <w:pStyle w:val="Heading2"/>
      </w:pPr>
      <w:r>
        <w:t xml:space="preserve">Text Formatting</w:t>
      </w:r>
    </w:p>
    <w:p>
      <w:pPr>
        <w:pStyle w:val="FirstParagraph"/>
      </w:pPr>
      <w:r>
        <w:rPr>
          <w:bCs/>
          <w:b/>
        </w:rPr>
        <w:t xml:space="preserve">Bold text</w:t>
      </w:r>
      <w:r>
        <w:t xml:space="preserve">,</w:t>
      </w:r>
      <w:r>
        <w:t xml:space="preserve"> </w:t>
      </w:r>
      <w:r>
        <w:rPr>
          <w:iCs/>
          <w:i/>
        </w:rPr>
        <w:t xml:space="preserve">italic text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 and</w:t>
      </w:r>
      <w:r>
        <w:t xml:space="preserve"> </w:t>
      </w:r>
      <w:r>
        <w:rPr>
          <w:bCs/>
          <w:b/>
        </w:rPr>
        <w:t xml:space="preserve">bold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nested italic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9" w:name="lists"/>
    <w:p>
      <w:pPr>
        <w:pStyle w:val="Heading2"/>
      </w:pPr>
      <w:r>
        <w:t xml:space="preserve">Lists</w:t>
      </w:r>
    </w:p>
    <w:bookmarkStart w:id="26" w:name="unordered-list"/>
    <w:p>
      <w:pPr>
        <w:pStyle w:val="Heading3"/>
      </w:pPr>
      <w:r>
        <w:t xml:space="preserve">Unordered List</w:t>
      </w:r>
    </w:p>
    <w:p>
      <w:pPr>
        <w:numPr>
          <w:ilvl w:val="0"/>
          <w:numId w:val="1001"/>
        </w:numPr>
        <w:pStyle w:val="Compact"/>
      </w:pPr>
      <w:r>
        <w:t xml:space="preserve">Level 1 item</w:t>
      </w:r>
    </w:p>
    <w:p>
      <w:pPr>
        <w:numPr>
          <w:ilvl w:val="1"/>
          <w:numId w:val="1002"/>
        </w:numPr>
        <w:pStyle w:val="Compact"/>
      </w:pPr>
      <w:r>
        <w:t xml:space="preserve">Level 2 item</w:t>
      </w:r>
    </w:p>
    <w:p>
      <w:pPr>
        <w:numPr>
          <w:ilvl w:val="2"/>
          <w:numId w:val="1003"/>
        </w:numPr>
        <w:pStyle w:val="Compact"/>
      </w:pPr>
      <w:r>
        <w:t xml:space="preserve">Level 3 item</w:t>
      </w:r>
    </w:p>
    <w:p>
      <w:pPr>
        <w:numPr>
          <w:ilvl w:val="1"/>
          <w:numId w:val="1002"/>
        </w:numPr>
        <w:pStyle w:val="Compact"/>
      </w:pPr>
      <w:r>
        <w:t xml:space="preserve">Another level 2</w:t>
      </w:r>
    </w:p>
    <w:p>
      <w:pPr>
        <w:numPr>
          <w:ilvl w:val="0"/>
          <w:numId w:val="1001"/>
        </w:numPr>
        <w:pStyle w:val="Compact"/>
      </w:pPr>
      <w:r>
        <w:t xml:space="preserve">Back to level 1</w:t>
      </w:r>
    </w:p>
    <w:bookmarkEnd w:id="26"/>
    <w:bookmarkStart w:id="27" w:name="ordered-list"/>
    <w:p>
      <w:pPr>
        <w:pStyle w:val="Heading3"/>
      </w:pPr>
      <w:r>
        <w:t xml:space="preserve">Ordered List</w:t>
      </w:r>
    </w:p>
    <w:p>
      <w:pPr>
        <w:numPr>
          <w:ilvl w:val="0"/>
          <w:numId w:val="1004"/>
        </w:numPr>
        <w:pStyle w:val="Compact"/>
      </w:pPr>
      <w:r>
        <w:t xml:space="preserve">First step</w:t>
      </w:r>
    </w:p>
    <w:p>
      <w:pPr>
        <w:numPr>
          <w:ilvl w:val="0"/>
          <w:numId w:val="1004"/>
        </w:numPr>
        <w:pStyle w:val="Compact"/>
      </w:pPr>
      <w:r>
        <w:t xml:space="preserve">Second step</w:t>
      </w:r>
    </w:p>
    <w:p>
      <w:pPr>
        <w:numPr>
          <w:ilvl w:val="1"/>
          <w:numId w:val="1005"/>
        </w:numPr>
        <w:pStyle w:val="Compact"/>
      </w:pPr>
      <w:r>
        <w:t xml:space="preserve">Sub-step A</w:t>
      </w:r>
    </w:p>
    <w:p>
      <w:pPr>
        <w:numPr>
          <w:ilvl w:val="1"/>
          <w:numId w:val="1005"/>
        </w:numPr>
        <w:pStyle w:val="Compact"/>
      </w:pPr>
      <w:r>
        <w:t xml:space="preserve">Sub-step B</w:t>
      </w:r>
    </w:p>
    <w:p>
      <w:pPr>
        <w:numPr>
          <w:ilvl w:val="0"/>
          <w:numId w:val="1004"/>
        </w:numPr>
        <w:pStyle w:val="Compact"/>
      </w:pPr>
      <w:r>
        <w:t xml:space="preserve">Third step</w:t>
      </w:r>
    </w:p>
    <w:bookmarkEnd w:id="27"/>
    <w:bookmarkStart w:id="28" w:name="mixed-list"/>
    <w:p>
      <w:pPr>
        <w:pStyle w:val="Heading3"/>
      </w:pPr>
      <w:r>
        <w:t xml:space="preserve">Mixed List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Planning</w:t>
      </w:r>
      <w:r>
        <w:t xml:space="preserve"> </w:t>
      </w:r>
      <w:r>
        <w:t xml:space="preserve">— define scope and requirements</w:t>
      </w:r>
    </w:p>
    <w:p>
      <w:pPr>
        <w:numPr>
          <w:ilvl w:val="1"/>
          <w:numId w:val="1007"/>
        </w:numPr>
        <w:pStyle w:val="Compact"/>
      </w:pPr>
      <w:r>
        <w:t xml:space="preserve">Gather stakeholder input</w:t>
      </w:r>
    </w:p>
    <w:p>
      <w:pPr>
        <w:numPr>
          <w:ilvl w:val="1"/>
          <w:numId w:val="1007"/>
        </w:numPr>
        <w:pStyle w:val="Compact"/>
      </w:pPr>
      <w:r>
        <w:t xml:space="preserve">Create project timeline</w:t>
      </w:r>
    </w:p>
    <w:p>
      <w:pPr>
        <w:numPr>
          <w:ilvl w:val="1"/>
          <w:numId w:val="1007"/>
        </w:numPr>
        <w:pStyle w:val="Compact"/>
      </w:pPr>
      <w:r>
        <w:t xml:space="preserve">Identify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Execution</w:t>
      </w:r>
      <w:r>
        <w:t xml:space="preserve"> </w:t>
      </w:r>
      <w:r>
        <w:t xml:space="preserve">— implement the solution</w:t>
      </w:r>
    </w:p>
    <w:p>
      <w:pPr>
        <w:numPr>
          <w:ilvl w:val="1"/>
          <w:numId w:val="1008"/>
        </w:numPr>
        <w:pStyle w:val="Compact"/>
      </w:pPr>
      <w:r>
        <w:t xml:space="preserve">Setup: configure environment and tooling</w:t>
      </w:r>
    </w:p>
    <w:p>
      <w:pPr>
        <w:numPr>
          <w:ilvl w:val="1"/>
          <w:numId w:val="1008"/>
        </w:numPr>
        <w:pStyle w:val="Compact"/>
      </w:pPr>
      <w:r>
        <w:t xml:space="preserve">Build: develop core features</w:t>
      </w:r>
    </w:p>
    <w:p>
      <w:pPr>
        <w:numPr>
          <w:ilvl w:val="1"/>
          <w:numId w:val="1008"/>
        </w:numPr>
        <w:pStyle w:val="Compact"/>
      </w:pPr>
      <w:r>
        <w:t xml:space="preserve">Test: validate against requirements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Review</w:t>
      </w:r>
      <w:r>
        <w:t xml:space="preserve"> </w:t>
      </w:r>
      <w:r>
        <w:t xml:space="preserve">— gather feedback and iterate</w:t>
      </w:r>
    </w:p>
    <w:p>
      <w:pPr>
        <w:numPr>
          <w:ilvl w:val="1"/>
          <w:numId w:val="1009"/>
        </w:numPr>
        <w:pStyle w:val="Compact"/>
      </w:pPr>
      <w:r>
        <w:t xml:space="preserve">Internal review</w:t>
      </w:r>
    </w:p>
    <w:p>
      <w:pPr>
        <w:numPr>
          <w:ilvl w:val="1"/>
          <w:numId w:val="1009"/>
        </w:numPr>
        <w:pStyle w:val="Compact"/>
      </w:pPr>
      <w:r>
        <w:t xml:space="preserve">Client review</w:t>
      </w:r>
    </w:p>
    <w:p>
      <w:pPr>
        <w:numPr>
          <w:ilvl w:val="1"/>
          <w:numId w:val="1009"/>
        </w:numPr>
        <w:pStyle w:val="Compact"/>
      </w:pPr>
      <w:r>
        <w:t xml:space="preserve">Final adjustments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code-blocks"/>
    <w:p>
      <w:pPr>
        <w:pStyle w:val="Heading2"/>
      </w:pPr>
      <w:r>
        <w:t xml:space="preserve">Code Blocks</w:t>
      </w:r>
    </w:p>
    <w:bookmarkStart w:id="30" w:name="python"/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zipfile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xml.etree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ElementTree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fix_table_widths(docx_path: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zipfile.ZipFile(docx_path)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z: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z.read(</w:t>
      </w:r>
      <w:r>
        <w:rPr>
          <w:rStyle w:val="StringTok"/>
        </w:rPr>
        <w:t xml:space="preserve">"word/document.xml"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ET.fromstring(data)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Convert fixed width to percentage-based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tbl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root.</w:t>
      </w:r>
      <w:r>
        <w:rPr>
          <w:rStyle w:val="BuiltInTok"/>
        </w:rPr>
        <w:t xml:space="preserve">iter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"{http://schemas...}tbl"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tblW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tbl.find(</w:t>
      </w:r>
      <w:r>
        <w:rPr>
          <w:rStyle w:val="StringTok"/>
        </w:rPr>
        <w:t xml:space="preserve">"{http://schemas...}tblPr/tblW"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tblW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tblW.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"w:type"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tblW.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"w:w"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"5000"</w:t>
      </w:r>
      <w:r>
        <w:rPr>
          <w:rStyle w:val="NormalTok"/>
        </w:rPr>
        <w:t xml:space="preserve">)</w:t>
      </w:r>
    </w:p>
    <w:bookmarkEnd w:id="30"/>
    <w:bookmarkStart w:id="31" w:name="javascript"/>
    <w:p>
      <w:pPr>
        <w:pStyle w:val="Heading3"/>
      </w:pPr>
      <w:r>
        <w:t xml:space="preserve">JavaScript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convertMarkdownToPDF</w:t>
      </w:r>
      <w:r>
        <w:rPr>
          <w:rStyle w:val="NormalTok"/>
        </w:rPr>
        <w:t xml:space="preserve">(markdownPath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pdfPath)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pandocConvert</w:t>
      </w:r>
      <w:r>
        <w:rPr>
          <w:rStyle w:val="NormalTok"/>
        </w:rPr>
        <w:t xml:space="preserve">(markdownPath)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fixDocxTables</w:t>
      </w:r>
      <w:r>
        <w:rPr>
          <w:rStyle w:val="NormalTok"/>
        </w:rPr>
        <w:t xml:space="preserve">(docx)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libreofficeConvert</w:t>
      </w:r>
      <w:r>
        <w:rPr>
          <w:rStyle w:val="NormalTok"/>
        </w:rPr>
        <w:t xml:space="preserve">(fixed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pdfPath)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`PDF generated: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pdfPath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diff"/>
    <w:p>
      <w:pPr>
        <w:pStyle w:val="Heading3"/>
      </w:pPr>
      <w:r>
        <w:t xml:space="preserve">Diff</w:t>
      </w:r>
    </w:p>
    <w:p>
      <w:pPr>
        <w:pStyle w:val="SourceCode"/>
      </w:pPr>
      <w:r>
        <w:rPr>
          <w:rStyle w:val="StringTok"/>
        </w:rPr>
        <w:t xml:space="preserve">- tblW.set("w:type", "dxa")</w:t>
      </w:r>
      <w:r>
        <w:br/>
      </w:r>
      <w:r>
        <w:rPr>
          <w:rStyle w:val="VariableTok"/>
        </w:rPr>
        <w:t xml:space="preserve">+ tblW.set("w:type", "pct")</w:t>
      </w:r>
      <w:r>
        <w:br/>
      </w:r>
      <w:r>
        <w:rPr>
          <w:rStyle w:val="StringTok"/>
        </w:rPr>
        <w:t xml:space="preserve">- tblW.set("w:w", "5000")</w:t>
      </w:r>
      <w:r>
        <w:br/>
      </w:r>
      <w:r>
        <w:rPr>
          <w:rStyle w:val="VariableTok"/>
        </w:rPr>
        <w:t xml:space="preserve">+ tblW.set("w:w", "5000")</w:t>
      </w:r>
      <w:r>
        <w:br/>
      </w:r>
      <w:r>
        <w:rPr>
          <w:rStyle w:val="NormalTok"/>
        </w:rPr>
        <w:t xml:space="preserve">  &lt;!-- same value but now interpreted as percentage --&gt;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blockquotes"/>
    <w:p>
      <w:pPr>
        <w:pStyle w:val="Heading2"/>
      </w:pPr>
      <w:r>
        <w:t xml:space="preserve">Blockquotes</w:t>
      </w:r>
    </w:p>
    <w:p>
      <w:pPr>
        <w:pStyle w:val="BlockText"/>
      </w:pPr>
      <w:r>
        <w:t xml:space="preserve">This is a blockquote demonstrating how quoted text is rendered.</w:t>
      </w:r>
    </w:p>
    <w:p>
      <w:pPr>
        <w:pStyle w:val="BlockText"/>
      </w:pPr>
      <w:r>
        <w:t xml:space="preserve">Nested blockquotes are also supported for multi-level citations.</w:t>
      </w:r>
    </w:p>
    <w:p>
      <w:pPr>
        <w:pStyle w:val="BlockText"/>
      </w:pPr>
      <w:r>
        <w:t xml:space="preserve">— Source attribution</w:t>
      </w:r>
    </w:p>
    <w:p>
      <w:r>
        <w:pict>
          <v:rect style="width:0;height:1.5pt" o:hralign="center" o:hrstd="t" o:hr="t"/>
        </w:pict>
      </w:r>
    </w:p>
    <w:bookmarkEnd w:id="34"/>
    <w:bookmarkStart w:id="35" w:name="horizontal-rules"/>
    <w:p>
      <w:pPr>
        <w:pStyle w:val="Heading2"/>
      </w:pPr>
      <w:r>
        <w:t xml:space="preserve">Horizontal Rules</w:t>
      </w:r>
    </w:p>
    <w:p>
      <w:pPr>
        <w:pStyle w:val="FirstParagraph"/>
      </w:pPr>
      <w:r>
        <w:t xml:space="preserve">Above the rule.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the rule.</w:t>
      </w:r>
    </w:p>
    <w:p>
      <w:r>
        <w:pict>
          <v:rect style="width:0;height:1.5pt" o:hralign="center" o:hrstd="t" o:hr="t"/>
        </w:pict>
      </w:r>
    </w:p>
    <w:bookmarkEnd w:id="35"/>
    <w:bookmarkStart w:id="39" w:name="links-and-images"/>
    <w:p>
      <w:pPr>
        <w:pStyle w:val="Heading2"/>
      </w:pPr>
      <w:r>
        <w:t xml:space="preserve">Links and Images</w:t>
      </w:r>
    </w:p>
    <w:p>
      <w:pPr>
        <w:numPr>
          <w:ilvl w:val="0"/>
          <w:numId w:val="1010"/>
        </w:numPr>
        <w:pStyle w:val="Compact"/>
      </w:pPr>
      <w:hyperlink r:id="rId36">
        <w:r>
          <w:rPr>
            <w:rStyle w:val="Hyperlink"/>
          </w:rPr>
          <w:t xml:space="preserve">GitHub Actions Documentation</w:t>
        </w:r>
      </w:hyperlink>
    </w:p>
    <w:p>
      <w:pPr>
        <w:numPr>
          <w:ilvl w:val="0"/>
          <w:numId w:val="1010"/>
        </w:numPr>
        <w:pStyle w:val="Compact"/>
      </w:pPr>
      <w:hyperlink r:id="rId37">
        <w:r>
          <w:rPr>
            <w:rStyle w:val="Hyperlink"/>
          </w:rPr>
          <w:t xml:space="preserve">Pandoc User’s Guide</w:t>
        </w:r>
      </w:hyperlink>
    </w:p>
    <w:p>
      <w:pPr>
        <w:numPr>
          <w:ilvl w:val="0"/>
          <w:numId w:val="1010"/>
        </w:numPr>
        <w:pStyle w:val="Compact"/>
      </w:pPr>
      <w:hyperlink r:id="rId38">
        <w:r>
          <w:rPr>
            <w:rStyle w:val="Hyperlink"/>
          </w:rPr>
          <w:t xml:space="preserve">LibreOffice</w:t>
        </w:r>
      </w:hyperlink>
    </w:p>
    <w:p>
      <w:r>
        <w:pict>
          <v:rect style="width:0;height:1.5pt" o:hralign="center" o:hrstd="t" o:hr="t"/>
        </w:pict>
      </w:r>
    </w:p>
    <w:bookmarkEnd w:id="39"/>
    <w:bookmarkStart w:id="40" w:name="definition-list"/>
    <w:p>
      <w:pPr>
        <w:pStyle w:val="Heading2"/>
      </w:pPr>
      <w:r>
        <w:t xml:space="preserve">Definition List</w:t>
      </w:r>
    </w:p>
    <w:p>
      <w:pPr>
        <w:pStyle w:val="DefinitionTerm"/>
      </w:pPr>
      <w:r>
        <w:t xml:space="preserve">Term A</w:t>
      </w:r>
    </w:p>
    <w:p>
      <w:pPr>
        <w:pStyle w:val="Definition"/>
      </w:pPr>
      <w:r>
        <w:t xml:space="preserve">Definition for term A, which spans multiple lines to show how descriptions are formatted in the PDF output.</w:t>
      </w:r>
    </w:p>
    <w:p>
      <w:pPr>
        <w:pStyle w:val="DefinitionTerm"/>
      </w:pPr>
      <w:r>
        <w:t xml:space="preserve">Term B</w:t>
      </w:r>
    </w:p>
    <w:p>
      <w:pPr>
        <w:pStyle w:val="Definition"/>
      </w:pPr>
      <w:r>
        <w:t xml:space="preserve">Definition for term B.</w:t>
      </w:r>
    </w:p>
    <w:p>
      <w:pPr>
        <w:pStyle w:val="DefinitionTerm"/>
      </w:pPr>
      <w:r>
        <w:t xml:space="preserve">Term C</w:t>
      </w:r>
    </w:p>
    <w:p>
      <w:pPr>
        <w:pStyle w:val="Definition"/>
      </w:pPr>
      <w:r>
        <w:t xml:space="preserve">Definition for term C with</w:t>
      </w:r>
      <w:r>
        <w:t xml:space="preserve"> </w:t>
      </w:r>
      <w:r>
        <w:rPr>
          <w:bCs/>
          <w:b/>
        </w:rPr>
        <w:t xml:space="preserve">inline formatting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elements.</w:t>
      </w:r>
    </w:p>
    <w:p>
      <w:r>
        <w:pict>
          <v:rect style="width:0;height:1.5pt" o:hralign="center" o:hrstd="t" o:hr="t"/>
        </w:pict>
      </w:r>
    </w:p>
    <w:bookmarkEnd w:id="40"/>
    <w:bookmarkStart w:id="43" w:name="footnotes"/>
    <w:p>
      <w:pPr>
        <w:pStyle w:val="Heading2"/>
      </w:pPr>
      <w:r>
        <w:t xml:space="preserve">Footnotes</w:t>
      </w:r>
    </w:p>
    <w:p>
      <w:pPr>
        <w:pStyle w:val="FirstParagraph"/>
      </w:pPr>
      <w:r>
        <w:t xml:space="preserve">This sentence has a footnote.</w:t>
      </w:r>
      <w:r>
        <w:rPr>
          <w:rStyle w:val="FootnoteReference"/>
        </w:rPr>
        <w:footnoteReference w:id="41"/>
      </w:r>
      <w:r>
        <w:t xml:space="preserve"> </w:t>
      </w:r>
      <w:r>
        <w:t xml:space="preserve">And this one has another.</w:t>
      </w:r>
      <w:r>
        <w:rPr>
          <w:rStyle w:val="FootnoteReference"/>
        </w:rPr>
        <w:footnoteReference w:id="42"/>
      </w:r>
    </w:p>
    <w:p>
      <w:r>
        <w:pict>
          <v:rect style="width:0;height:1.5pt" o:hralign="center" o:hrstd="t" o:hr="t"/>
        </w:pict>
      </w:r>
    </w:p>
    <w:bookmarkEnd w:id="43"/>
    <w:bookmarkStart w:id="44" w:name="task-list"/>
    <w:p>
      <w:pPr>
        <w:pStyle w:val="Heading2"/>
      </w:pPr>
      <w:r>
        <w:t xml:space="preserve">Task List</w:t>
      </w:r>
    </w:p>
    <w:p>
      <w:pPr>
        <w:numPr>
          <w:ilvl w:val="0"/>
          <w:numId w:val="1011"/>
        </w:numPr>
        <w:pStyle w:val="Compact"/>
      </w:pPr>
      <w:r>
        <w:t xml:space="preserve">☒ Research PDF conversion approaches</w:t>
      </w:r>
    </w:p>
    <w:p>
      <w:pPr>
        <w:numPr>
          <w:ilvl w:val="0"/>
          <w:numId w:val="1011"/>
        </w:numPr>
        <w:pStyle w:val="Compact"/>
      </w:pPr>
      <w:r>
        <w:t xml:space="preserve">☒ Build Pandoc + LibreOffice pipeline</w:t>
      </w:r>
    </w:p>
    <w:p>
      <w:pPr>
        <w:numPr>
          <w:ilvl w:val="0"/>
          <w:numId w:val="1011"/>
        </w:numPr>
        <w:pStyle w:val="Compact"/>
      </w:pPr>
      <w:r>
        <w:t xml:space="preserve">☒ Implement DOCX post-processing fixes</w:t>
      </w:r>
    </w:p>
    <w:p>
      <w:pPr>
        <w:numPr>
          <w:ilvl w:val="0"/>
          <w:numId w:val="1011"/>
        </w:numPr>
        <w:pStyle w:val="Compact"/>
      </w:pPr>
      <w:r>
        <w:t xml:space="preserve">☐ Add custom template support</w:t>
      </w:r>
    </w:p>
    <w:p>
      <w:pPr>
        <w:numPr>
          <w:ilvl w:val="0"/>
          <w:numId w:val="1011"/>
        </w:numPr>
        <w:pStyle w:val="Compact"/>
      </w:pPr>
      <w:r>
        <w:t xml:space="preserve">☐ Add image embedding optimization</w:t>
      </w:r>
    </w:p>
    <w:p>
      <w:pPr>
        <w:numPr>
          <w:ilvl w:val="0"/>
          <w:numId w:val="1011"/>
        </w:numPr>
        <w:pStyle w:val="Compact"/>
      </w:pPr>
      <w:r>
        <w:t xml:space="preserve">☐ Publish to GitHub Marketplace</w:t>
      </w:r>
    </w:p>
    <w:p>
      <w:r>
        <w:pict>
          <v:rect style="width:0;height:1.5pt" o:hralign="center" o:hrstd="t" o:hr="t"/>
        </w:pict>
      </w:r>
    </w:p>
    <w:bookmarkEnd w:id="44"/>
    <w:bookmarkStart w:id="47" w:name="large-data-table"/>
    <w:p>
      <w:pPr>
        <w:pStyle w:val="Heading2"/>
      </w:pPr>
      <w:r>
        <w:t xml:space="preserve">Large Data Table</w:t>
      </w:r>
    </w:p>
    <w:bookmarkStart w:id="45" w:name="quarterly-sales-report"/>
    <w:p>
      <w:pPr>
        <w:pStyle w:val="Heading3"/>
      </w:pPr>
      <w:r>
        <w:t xml:space="preserve">Quarterly Sales Report</w:t>
      </w:r>
    </w:p>
    <w:tbl>
      <w:tblPr>
        <w:tblStyle w:val="TableNormal"/>
        <w:tblW w:type="pct" w:w="5000"/>
        <w:tblLook w:firstRow="1" w:lastRow="0" w:firstColumn="0" w:lastColumn="0" w:noHBand="0" w:noVBand="0" w:val="0020"/>
        <w:jc w:val="start"/>
        <w:tblLayout w:type="autofi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YoY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 America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$1,234,567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$1,345,678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$1,456,789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$1,567,890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$5,604,924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$987,654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$1,098,765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$1,109,876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$1,210,987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$4,407,282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Asia-Pacific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$1,456,789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$1,567,890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$1,678,901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$1,789,012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$6,492,592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Latin America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$345,678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$456,789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$567,890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$678,901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$2,049,258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$234,567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$345,678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$456,789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$567,890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$1,604,924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$123,456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$234,567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$345,678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$456,789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$1,160,490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$4,382,711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$5,049,367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$5,615,923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$6,271,469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$21,319,470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+14.6%</w:t>
            </w:r>
          </w:p>
        </w:tc>
      </w:tr>
    </w:tbl>
    <w:bookmarkEnd w:id="45"/>
    <w:bookmarkStart w:id="46" w:name="product-comparison"/>
    <w:p>
      <w:pPr>
        <w:pStyle w:val="Heading3"/>
      </w:pPr>
      <w:r>
        <w:t xml:space="preserve">Product Comparison</w:t>
      </w:r>
    </w:p>
    <w:tbl>
      <w:tblPr>
        <w:tblStyle w:val="TableNormal"/>
        <w:tblW w:type="pct" w:w="5000"/>
        <w:tblLook w:firstRow="1" w:lastRow="0" w:firstColumn="0" w:lastColumn="0" w:noHBand="0" w:noVBand="0" w:val="0020"/>
        <w:jc w:val="start"/>
        <w:tblLayout w:type="autofi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(1k/day)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(Unlimited)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24/7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Branding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SSO/SAML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JSON, 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JSON, XML,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$29/user/mo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48" w:name="text-with-special-characters"/>
    <w:p>
      <w:pPr>
        <w:pStyle w:val="Heading2"/>
      </w:pPr>
      <w:r>
        <w:t xml:space="preserve">Text with Special Characters</w:t>
      </w:r>
    </w:p>
    <w:p>
      <w:pPr>
        <w:pStyle w:val="FirstParagraph"/>
      </w:pPr>
      <w:r>
        <w:t xml:space="preserve">Mathematical notation: a² + b² = c², H₂O, x₁, x₂, … xₙ</w:t>
      </w:r>
    </w:p>
    <w:p>
      <w:pPr>
        <w:pStyle w:val="BodyText"/>
      </w:pPr>
      <w:r>
        <w:t xml:space="preserve">Em dashes — and en dashes – with proper spacing.</w:t>
      </w:r>
    </w:p>
    <w:p>
      <w:pPr>
        <w:pStyle w:val="BodyText"/>
      </w:pPr>
      <w:r>
        <w:t xml:space="preserve">“</w:t>
      </w:r>
      <w:r>
        <w:t xml:space="preserve">Smart quotes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single quotes</w:t>
      </w:r>
      <w:r>
        <w:t xml:space="preserve">’</w:t>
      </w:r>
      <w:r>
        <w:t xml:space="preserve"> </w:t>
      </w:r>
      <w:r>
        <w:t xml:space="preserve">should render as curly quotes in the PDF.</w:t>
      </w:r>
    </w:p>
    <w:p>
      <w:pPr>
        <w:pStyle w:val="BodyText"/>
      </w:pPr>
      <w:r>
        <w:t xml:space="preserve">Copyright © 2024, registered ®, trademark ™.</w:t>
      </w:r>
    </w:p>
    <w:p>
      <w:r>
        <w:pict>
          <v:rect style="width:0;height:1.5pt" o:hralign="center" o:hrstd="t" o:hr="t"/>
        </w:pict>
      </w:r>
    </w:p>
    <w:bookmarkEnd w:id="48"/>
    <w:bookmarkStart w:id="73" w:name="financial-charts"/>
    <w:p>
      <w:pPr>
        <w:pStyle w:val="Heading2"/>
      </w:pPr>
      <w:r>
        <w:t xml:space="preserve">Financial Charts</w:t>
      </w:r>
    </w:p>
    <w:p>
      <w:pPr>
        <w:pStyle w:val="FirstParagraph"/>
      </w:pPr>
      <w:r>
        <w:t xml:space="preserve">This section presents a series of financial visualizations generated using</w:t>
      </w:r>
      <w:r>
        <w:t xml:space="preserve"> </w:t>
      </w:r>
      <w:r>
        <w:t xml:space="preserve">Python’s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mplfinance</w:t>
      </w:r>
      <w:r>
        <w:t xml:space="preserve"> </w:t>
      </w:r>
      <w:r>
        <w:t xml:space="preserve">libraries. Each exhibit includes the</w:t>
      </w:r>
      <w:r>
        <w:t xml:space="preserve"> </w:t>
      </w:r>
      <w:r>
        <w:t xml:space="preserve">source code used to produce the figure, along with a brief analytical</w:t>
      </w:r>
      <w:r>
        <w:t xml:space="preserve"> </w:t>
      </w:r>
      <w:r>
        <w:t xml:space="preserve">commentary, demonstrating how computational tools can be used to explore</w:t>
      </w:r>
      <w:r>
        <w:t xml:space="preserve"> </w:t>
      </w:r>
      <w:r>
        <w:t xml:space="preserve">financial data.</w:t>
      </w:r>
    </w:p>
    <w:p>
      <w:r>
        <w:pict>
          <v:rect style="width:0;height:1.5pt" o:hralign="center" o:hrstd="t" o:hr="t"/>
        </w:pict>
      </w:r>
    </w:p>
    <w:bookmarkStart w:id="52" w:name="exhibit-a-candlestick-chart"/>
    <w:p>
      <w:pPr>
        <w:pStyle w:val="Heading3"/>
      </w:pPr>
      <w:r>
        <w:t xml:space="preserve">Exhibit A: Candlestick Chart</w:t>
      </w:r>
    </w:p>
    <w:p>
      <w:pPr>
        <w:pStyle w:val="FirstParagraph"/>
      </w:pPr>
      <w:r>
        <w:t xml:space="preserve">Candlestick charts are a foundational tool in technical analysis, encoding</w:t>
      </w:r>
      <w:r>
        <w:t xml:space="preserve"> </w:t>
      </w:r>
      <w:r>
        <w:t xml:space="preserve">open, high, low, and close (OHLC) prices for a given time period. The body</w:t>
      </w:r>
      <w:r>
        <w:t xml:space="preserve"> </w:t>
      </w:r>
      <w:r>
        <w:t xml:space="preserve">of each candle is filled when the closing price is lower than the opening</w:t>
      </w:r>
      <w:r>
        <w:t xml:space="preserve"> </w:t>
      </w:r>
      <w:r>
        <w:t xml:space="preserve">price (bearish), and hollow when the close is higher (bullish). The wicks</w:t>
      </w:r>
      <w:r>
        <w:t xml:space="preserve"> </w:t>
      </w:r>
      <w:r>
        <w:t xml:space="preserve">extend to the period’s high and low.</w:t>
      </w:r>
    </w:p>
    <w:p>
      <w:pPr>
        <w:pStyle w:val="BodyText"/>
      </w:pPr>
      <w:r>
        <w:t xml:space="preserve">The following figure presents 60 trading days of simulated ACME Corp equity</w:t>
      </w:r>
      <w:r>
        <w:t xml:space="preserve"> </w:t>
      </w:r>
      <w:r>
        <w:t xml:space="preserve">data, with volume displayed beneath the price panel. The series was generated</w:t>
      </w:r>
      <w:r>
        <w:t xml:space="preserve"> </w:t>
      </w:r>
      <w:r>
        <w:t xml:space="preserve">using a geometric random walk calibrated to approximate daily equity returns.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mplfinance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mpf</w:t>
      </w:r>
      <w:r>
        <w:br/>
      </w:r>
      <w:r>
        <w:br/>
      </w:r>
      <w:r>
        <w:rPr>
          <w:rStyle w:val="NormalTok"/>
        </w:rPr>
        <w:t xml:space="preserve">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pd.date_range(end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'2025-12-31'</w:t>
      </w:r>
      <w:r>
        <w:rPr>
          <w:rStyle w:val="NormalTok"/>
        </w:rPr>
        <w:t xml:space="preserve">, 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np.cumsum(np.random.normal(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:   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:   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:    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'Close'</w:t>
      </w:r>
      <w:r>
        <w:rPr>
          <w:rStyle w:val="NormalTok"/>
        </w:rPr>
        <w:t xml:space="preserve">:  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'Volume'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500_000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5_000_000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dates)</w:t>
      </w:r>
      <w:r>
        <w:br/>
      </w:r>
      <w:r>
        <w:br/>
      </w:r>
      <w:r>
        <w:rPr>
          <w:rStyle w:val="NormalTok"/>
        </w:rPr>
        <w:t xml:space="preserve">mpf.plot(df,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'candle'</w:t>
      </w:r>
      <w:r>
        <w:rPr>
          <w:rStyle w:val="NormalTok"/>
        </w:rPr>
        <w:t xml:space="preserve">, volume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'charles'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'ACME Corp (ACME) — Daily Price Chart'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'Price ($)'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visual inspection reveals moderate volatility with a slight upward drift,</w:t>
      </w:r>
      <w:r>
        <w:t xml:space="preserve"> </w:t>
      </w:r>
      <w:r>
        <w:t xml:space="preserve">consistent with the underlying log-normal assumption. The volume series shows</w:t>
      </w:r>
      <w:r>
        <w:t xml:space="preserve"> </w:t>
      </w:r>
      <w:r>
        <w:t xml:space="preserve">no obvious correlation with absolute price movements, which aligns with the</w:t>
      </w:r>
      <w:r>
        <w:t xml:space="preserve"> </w:t>
      </w:r>
      <w:r>
        <w:t xml:space="preserve">independent random sampling used to generate it.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Candlestick chart showing daily price action" title="" id="50" name="Picture"/>
            <a:graphic>
              <a:graphicData uri="http://schemas.openxmlformats.org/drawingml/2006/picture">
                <pic:pic>
                  <pic:nvPicPr>
                    <pic:cNvPr descr="images/candlestic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Candlestick chart showing daily price action</w:t>
      </w:r>
    </w:p>
    <w:p>
      <w:r>
        <w:pict>
          <v:rect style="width:0;height:1.5pt" o:hralign="center" o:hrstd="t" o:hr="t"/>
        </w:pict>
      </w:r>
    </w:p>
    <w:bookmarkEnd w:id="52"/>
    <w:bookmarkStart w:id="56" w:name="exhibit-b-moving-average-crossovers"/>
    <w:p>
      <w:pPr>
        <w:pStyle w:val="Heading3"/>
      </w:pPr>
      <w:r>
        <w:t xml:space="preserve">Exhibit B: Moving Average Crossovers</w:t>
      </w:r>
    </w:p>
    <w:p>
      <w:pPr>
        <w:pStyle w:val="FirstParagraph"/>
      </w:pPr>
      <w:r>
        <w:t xml:space="preserve">Moving averages smooth price data to reveal underlying trends. The crossover</w:t>
      </w:r>
      <w:r>
        <w:t xml:space="preserve"> </w:t>
      </w:r>
      <w:r>
        <w:t xml:space="preserve">of a shorter-term moving average above a longer-term moving average is a</w:t>
      </w:r>
      <w:r>
        <w:t xml:space="preserve"> </w:t>
      </w:r>
      <w:r>
        <w:t xml:space="preserve">widely used momentum signal. Conversely, a cross below is interpreted as a</w:t>
      </w:r>
      <w:r>
        <w:t xml:space="preserve"> </w:t>
      </w:r>
      <w:r>
        <w:t xml:space="preserve">potential trend reversal.</w:t>
      </w:r>
    </w:p>
    <w:p>
      <w:pPr>
        <w:pStyle w:val="BodyText"/>
      </w:pPr>
      <w:r>
        <w:t xml:space="preserve">Here we overlay a 50-period and 200-period simple moving average (SMA) on the</w:t>
      </w:r>
      <w:r>
        <w:t xml:space="preserve"> </w:t>
      </w:r>
      <w:r>
        <w:t xml:space="preserve">same ACME Corp price series. The shaded regions highlight periods where the</w:t>
      </w:r>
      <w:r>
        <w:t xml:space="preserve"> </w:t>
      </w:r>
      <w:r>
        <w:t xml:space="preserve">closing price is above (green) or below (red) the SMA-50.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'SMA50'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'Close'</w:t>
      </w:r>
      <w:r>
        <w:rPr>
          <w:rStyle w:val="NormalTok"/>
        </w:rPr>
        <w:t xml:space="preserve">].rolling(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).mean()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'SMA200'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'Close'</w:t>
      </w:r>
      <w:r>
        <w:rPr>
          <w:rStyle w:val="NormalTok"/>
        </w:rPr>
        <w:t xml:space="preserve">].rolling(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ax.plot(df.index, df[</w:t>
      </w:r>
      <w:r>
        <w:rPr>
          <w:rStyle w:val="StringTok"/>
        </w:rPr>
        <w:t xml:space="preserve">'Close'</w:t>
      </w:r>
      <w:r>
        <w:rPr>
          <w:rStyle w:val="NormalTok"/>
        </w:rPr>
        <w:t xml:space="preserve">],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'Close Price'</w:t>
      </w:r>
      <w:r>
        <w:rPr>
          <w:rStyle w:val="NormalTok"/>
        </w:rPr>
        <w:t xml:space="preserve">,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'#2196F3'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ax.plot(df.index, df[</w:t>
      </w:r>
      <w:r>
        <w:rPr>
          <w:rStyle w:val="StringTok"/>
        </w:rPr>
        <w:t xml:space="preserve">'SMA50'</w:t>
      </w:r>
      <w:r>
        <w:rPr>
          <w:rStyle w:val="NormalTok"/>
        </w:rPr>
        <w:t xml:space="preserve">],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'SMA-50'</w:t>
      </w:r>
      <w:r>
        <w:rPr>
          <w:rStyle w:val="NormalTok"/>
        </w:rPr>
        <w:t xml:space="preserve">,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'#FF9800'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ax.plot(df.index, df[</w:t>
      </w:r>
      <w:r>
        <w:rPr>
          <w:rStyle w:val="StringTok"/>
        </w:rPr>
        <w:t xml:space="preserve">'SMA200'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'SMA-200'</w:t>
      </w:r>
      <w:r>
        <w:rPr>
          <w:rStyle w:val="NormalTok"/>
        </w:rPr>
        <w:t xml:space="preserve">,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'#F44336'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ax.fill_between(df.index, df[</w:t>
      </w:r>
      <w:r>
        <w:rPr>
          <w:rStyle w:val="StringTok"/>
        </w:rPr>
        <w:t xml:space="preserve">'Close'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'SMA50'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where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df[</w:t>
      </w:r>
      <w:r>
        <w:rPr>
          <w:rStyle w:val="StringTok"/>
        </w:rPr>
        <w:t xml:space="preserve">'Close'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'SMA50'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'#4CAF50'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ax.fill_between(df.index, df[</w:t>
      </w:r>
      <w:r>
        <w:rPr>
          <w:rStyle w:val="StringTok"/>
        </w:rPr>
        <w:t xml:space="preserve">'Close'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'SMA50'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where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df[</w:t>
      </w:r>
      <w:r>
        <w:rPr>
          <w:rStyle w:val="StringTok"/>
        </w:rPr>
        <w:t xml:space="preserve">'Close'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df[</w:t>
      </w:r>
      <w:r>
        <w:rPr>
          <w:rStyle w:val="StringTok"/>
        </w:rPr>
        <w:t xml:space="preserve">'SMA50'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'#F44336'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SMA-50 remains above the SMA-200 for most of the observation window,</w:t>
      </w:r>
      <w:r>
        <w:t xml:space="preserve"> </w:t>
      </w:r>
      <w:r>
        <w:t xml:space="preserve">indicating a sustained upward trend. The brief cross below the SMA-50 in</w:t>
      </w:r>
      <w:r>
        <w:t xml:space="preserve"> </w:t>
      </w:r>
      <w:r>
        <w:t xml:space="preserve">mid-December would have triggered a caution signal under a simple moving</w:t>
      </w:r>
      <w:r>
        <w:t xml:space="preserve"> </w:t>
      </w:r>
      <w:r>
        <w:t xml:space="preserve">average crossover strategy.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Moving average crossover chart" title="" id="54" name="Picture"/>
            <a:graphic>
              <a:graphicData uri="http://schemas.openxmlformats.org/drawingml/2006/picture">
                <pic:pic>
                  <pic:nvPicPr>
                    <pic:cNvPr descr="images/moving-average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Moving average crossover chart</w:t>
      </w:r>
    </w:p>
    <w:p>
      <w:r>
        <w:pict>
          <v:rect style="width:0;height:1.5pt" o:hralign="center" o:hrstd="t" o:hr="t"/>
        </w:pict>
      </w:r>
    </w:p>
    <w:bookmarkEnd w:id="56"/>
    <w:bookmarkStart w:id="60" w:name="exhibit-c-portfolio-sector-allocation"/>
    <w:p>
      <w:pPr>
        <w:pStyle w:val="Heading3"/>
      </w:pPr>
      <w:r>
        <w:t xml:space="preserve">Exhibit C: Portfolio Sector Allocation</w:t>
      </w:r>
    </w:p>
    <w:p>
      <w:pPr>
        <w:pStyle w:val="FirstParagraph"/>
      </w:pPr>
      <w:r>
        <w:t xml:space="preserve">A well-diversified portfolio allocates capital across uncorrelated asset</w:t>
      </w:r>
      <w:r>
        <w:t xml:space="preserve"> </w:t>
      </w:r>
      <w:r>
        <w:t xml:space="preserve">classes and sectors to reduce idiosyncratic risk. The donut chart below</w:t>
      </w:r>
      <w:r>
        <w:t xml:space="preserve"> </w:t>
      </w:r>
      <w:r>
        <w:t xml:space="preserve">depicts a hypothetical portfolio’s sector exposure, with technology and</w:t>
      </w:r>
      <w:r>
        <w:t xml:space="preserve"> </w:t>
      </w:r>
      <w:r>
        <w:t xml:space="preserve">healthcare representing the largest weightings.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'Technology'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'Healthcare'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'Finance'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'Consumer Cyclical'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'Energy'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'Real Estate'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'Utilities'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allocations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'#2196F3'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'#4CAF50'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'#FF9800'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'#9C27B0'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'#F44336'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'#00BCD4'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'#607D8B'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ax.pie(allocations,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sectors,</w:t>
      </w:r>
      <w:r>
        <w:br/>
      </w:r>
      <w:r>
        <w:rPr>
          <w:rStyle w:val="NormalTok"/>
        </w:rPr>
        <w:t xml:space="preserve">       colors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%1.1f%%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wedgeprops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 portfolio is concentrated in growth-oriented sectors (technology at 32 %),</w:t>
      </w:r>
      <w:r>
        <w:t xml:space="preserve"> </w:t>
      </w:r>
      <w:r>
        <w:t xml:space="preserve">with defensive allocations to utilities and real estate providing a</w:t>
      </w:r>
      <w:r>
        <w:t xml:space="preserve"> </w:t>
      </w:r>
      <w:r>
        <w:t xml:space="preserve">counterweight. This resembles a moderate-to-aggressive growth portfolio</w:t>
      </w:r>
      <w:r>
        <w:t xml:space="preserve"> </w:t>
      </w:r>
      <w:r>
        <w:t xml:space="preserve">typical of a long-term accumulation strategy.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Portfolio allocation donut chart" title="" id="58" name="Picture"/>
            <a:graphic>
              <a:graphicData uri="http://schemas.openxmlformats.org/drawingml/2006/picture">
                <pic:pic>
                  <pic:nvPicPr>
                    <pic:cNvPr descr="images/portfolio-alloc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allocation donut chart</w:t>
      </w:r>
    </w:p>
    <w:p>
      <w:r>
        <w:pict>
          <v:rect style="width:0;height:1.5pt" o:hralign="center" o:hrstd="t" o:hr="t"/>
        </w:pict>
      </w:r>
    </w:p>
    <w:bookmarkEnd w:id="60"/>
    <w:bookmarkStart w:id="64" w:name="exhibit-d-quarterly-earnings-analysis"/>
    <w:p>
      <w:pPr>
        <w:pStyle w:val="Heading3"/>
      </w:pPr>
      <w:r>
        <w:t xml:space="preserve">Exhibit D: Quarterly Earnings Analysis</w:t>
      </w:r>
    </w:p>
    <w:p>
      <w:pPr>
        <w:pStyle w:val="FirstParagraph"/>
      </w:pPr>
      <w:r>
        <w:t xml:space="preserve">Tracking revenue and net profit over time reveals a company’s growth trajectory</w:t>
      </w:r>
      <w:r>
        <w:t xml:space="preserve"> </w:t>
      </w:r>
      <w:r>
        <w:t xml:space="preserve">and margin stability. The grouped bar chart below compares quarterly revenue</w:t>
      </w:r>
      <w:r>
        <w:t xml:space="preserve"> </w:t>
      </w:r>
      <w:r>
        <w:t xml:space="preserve">and net profit over six consecutive quarters for a hypothetical firm.</w:t>
      </w:r>
    </w:p>
    <w:p>
      <w:pPr>
        <w:pStyle w:val="SourceCode"/>
      </w:pPr>
      <w:r>
        <w:rPr>
          <w:rStyle w:val="NormalTok"/>
        </w:rPr>
        <w:t xml:space="preserve">quarters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'Q1 2024'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'Q2 2024'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'Q3 2024'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'Q4 2024'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'Q1 2025'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'Q2 2025'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revenue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1580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profit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435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(quarters))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revenue,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'Revenue'</w:t>
      </w:r>
      <w:r>
        <w:rPr>
          <w:rStyle w:val="NormalTok"/>
        </w:rPr>
        <w:t xml:space="preserve">,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'#2196F3'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profit, 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'Net Profit'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'#4CAF50'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ax.set_xticks(x)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ax.set_xticklabels(quarters,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'right'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Revenue grew from $1,240 M in Q1 2024 to $1,580 M in Q2 2025, a compound</w:t>
      </w:r>
      <w:r>
        <w:t xml:space="preserve"> </w:t>
      </w:r>
      <w:r>
        <w:t xml:space="preserve">quarterly growth rate (CQGR) of approximately 4.1 %. Net profit margins</w:t>
      </w:r>
      <w:r>
        <w:t xml:space="preserve"> </w:t>
      </w:r>
      <w:r>
        <w:t xml:space="preserve">remained stable at roughly 27 %, suggesting the company successfully scaled</w:t>
      </w:r>
      <w:r>
        <w:t xml:space="preserve"> </w:t>
      </w:r>
      <w:r>
        <w:t xml:space="preserve">without margin compression — a positive signal for stakeholders.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Quarterly earnings bar chart" title="" id="62" name="Picture"/>
            <a:graphic>
              <a:graphicData uri="http://schemas.openxmlformats.org/drawingml/2006/picture">
                <pic:pic>
                  <pic:nvPicPr>
                    <pic:cNvPr descr="images/quarterly-earning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Quarterly earnings bar chart</w:t>
      </w:r>
    </w:p>
    <w:p>
      <w:r>
        <w:pict>
          <v:rect style="width:0;height:1.5pt" o:hralign="center" o:hrstd="t" o:hr="t"/>
        </w:pict>
      </w:r>
    </w:p>
    <w:bookmarkEnd w:id="64"/>
    <w:bookmarkStart w:id="68" w:name="exhibit-e-monte-carlo-simulation"/>
    <w:p>
      <w:pPr>
        <w:pStyle w:val="Heading3"/>
      </w:pPr>
      <w:r>
        <w:t xml:space="preserve">Exhibit E: Monte Carlo Simulation</w:t>
      </w:r>
    </w:p>
    <w:p>
      <w:pPr>
        <w:pStyle w:val="FirstParagraph"/>
      </w:pPr>
      <w:r>
        <w:t xml:space="preserve">Monte Carlo methods are used to model the probability distribution of portfolio</w:t>
      </w:r>
      <w:r>
        <w:t xml:space="preserve"> </w:t>
      </w:r>
      <w:r>
        <w:t xml:space="preserve">outcomes under stochastic returns. The simulation assumes a geometric Brownian</w:t>
      </w:r>
      <w:r>
        <w:t xml:space="preserve"> </w:t>
      </w:r>
      <w:r>
        <w:t xml:space="preserve">motion process calibrated to historical parameters, then generates thousands</w:t>
      </w:r>
      <w:r>
        <w:t xml:space="preserve"> </w:t>
      </w:r>
      <w:r>
        <w:t xml:space="preserve">of potential future paths.</w:t>
      </w:r>
    </w:p>
    <w:p>
      <w:pPr>
        <w:pStyle w:val="BodyText"/>
      </w:pPr>
      <w:r>
        <w:t xml:space="preserve">The following figure plots 100 simulated trajectories for a portfolio with an</w:t>
      </w:r>
      <w:r>
        <w:t xml:space="preserve"> </w:t>
      </w:r>
      <w:r>
        <w:t xml:space="preserve">initial value of $100, an annualized drift of approximately 20 % (µ = 0.0008</w:t>
      </w:r>
      <w:r>
        <w:t xml:space="preserve"> </w:t>
      </w:r>
      <w:r>
        <w:t xml:space="preserve">daily), and a daily volatility of 1.5 %. The median path and the 5th/95th</w:t>
      </w:r>
      <w:r>
        <w:t xml:space="preserve"> </w:t>
      </w:r>
      <w:r>
        <w:t xml:space="preserve">percentile bands are overlaid.</w:t>
      </w:r>
    </w:p>
    <w:p>
      <w:pPr>
        <w:pStyle w:val="SourceCode"/>
      </w:pPr>
      <w:r>
        <w:rPr>
          <w:rStyle w:val="NormalTok"/>
        </w:rPr>
        <w:t xml:space="preserve">n_sims, n_days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252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br/>
      </w:r>
      <w:r>
        <w:rPr>
          <w:rStyle w:val="NormalTok"/>
        </w:rPr>
        <w:t xml:space="preserve">sims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np.zeros((n_sims, n_days))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sims[:,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n_days):</w:t>
      </w:r>
      <w:r>
        <w:br/>
      </w:r>
      <w:r>
        <w:rPr>
          <w:rStyle w:val="NormalTok"/>
        </w:rPr>
        <w:t xml:space="preserve">    sims[:, 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sims[:, t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np.exp(np.random.normal(mu, sigma, n_sims))</w:t>
      </w:r>
      <w:r>
        <w:br/>
      </w:r>
      <w:r>
        <w:br/>
      </w:r>
      <w:r>
        <w:rPr>
          <w:rStyle w:val="NormalTok"/>
        </w:rPr>
        <w:t xml:space="preserve">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np.median(sims,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p5, p95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np.percentile(sims,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Under these assumptions, the median portfolio value after one year of trading</w:t>
      </w:r>
      <w:r>
        <w:t xml:space="preserve"> </w:t>
      </w:r>
      <w:r>
        <w:t xml:space="preserve">is approximately $122, with a 90 % confidence interval ranging from $92 to</w:t>
      </w:r>
      <w:r>
        <w:t xml:space="preserve"> </w:t>
      </w:r>
      <w:r>
        <w:t xml:space="preserve">$164. The fan plot illustrates the widening dispersion over time — a hallmark</w:t>
      </w:r>
      <w:r>
        <w:t xml:space="preserve"> </w:t>
      </w:r>
      <w:r>
        <w:t xml:space="preserve">of stochastic processes, where uncertainty compounds proportionally to the</w:t>
      </w:r>
      <w:r>
        <w:t xml:space="preserve"> </w:t>
      </w:r>
      <w:r>
        <w:t xml:space="preserve">square root of time.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Monte Carlo simulation paths" title="" id="66" name="Picture"/>
            <a:graphic>
              <a:graphicData uri="http://schemas.openxmlformats.org/drawingml/2006/picture">
                <pic:pic>
                  <pic:nvPicPr>
                    <pic:cNvPr descr="images/monte-carlo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Monte Carlo simulation paths</w:t>
      </w:r>
    </w:p>
    <w:p>
      <w:r>
        <w:pict>
          <v:rect style="width:0;height:1.5pt" o:hralign="center" o:hrstd="t" o:hr="t"/>
        </w:pict>
      </w:r>
    </w:p>
    <w:bookmarkEnd w:id="68"/>
    <w:bookmarkStart w:id="72" w:name="exhibit-f-sharpe-ratio-heatmap"/>
    <w:p>
      <w:pPr>
        <w:pStyle w:val="Heading3"/>
      </w:pPr>
      <w:r>
        <w:t xml:space="preserve">Exhibit F: Sharpe Ratio Heatmap</w:t>
      </w:r>
    </w:p>
    <w:p>
      <w:pPr>
        <w:pStyle w:val="FirstParagraph"/>
      </w:pPr>
      <w:r>
        <w:t xml:space="preserve">The Sharpe ratio measures risk-adjusted return by dividing the excess return</w:t>
      </w:r>
      <w:r>
        <w:t xml:space="preserve"> </w:t>
      </w:r>
      <w:r>
        <w:t xml:space="preserve">(expected return minus the risk-free rate) by the portfolio’s volatility.</w:t>
      </w:r>
      <w:r>
        <w:t xml:space="preserve"> </w:t>
      </w:r>
      <w:r>
        <w:t xml:space="preserve">It is one of the most widely cited metrics in portfolio analysis.</w:t>
      </w:r>
    </w:p>
    <w:p>
      <w:pPr>
        <w:pStyle w:val="BodyText"/>
      </w:pPr>
      <w:r>
        <w:t xml:space="preserve">The heatmap below visualises the Sharpe ratio across a grid of risk-free rates</w:t>
      </w:r>
      <w:r>
        <w:t xml:space="preserve"> </w:t>
      </w:r>
      <w:r>
        <w:t xml:space="preserve">and volatility assumptions, holding the expected return constant at 12 %. This</w:t>
      </w:r>
      <w:r>
        <w:t xml:space="preserve"> </w:t>
      </w:r>
      <w:r>
        <w:t xml:space="preserve">allows an investor to assess how changes in the macroeconomic environment</w:t>
      </w:r>
      <w:r>
        <w:t xml:space="preserve"> </w:t>
      </w:r>
      <w:r>
        <w:t xml:space="preserve">(risk-free rate) or portfolio construction (volatility) affect the risk-reward</w:t>
      </w:r>
      <w:r>
        <w:t xml:space="preserve"> </w:t>
      </w:r>
      <w:r>
        <w:t xml:space="preserve">profile.</w:t>
      </w:r>
    </w:p>
    <w:p>
      <w:pPr>
        <w:pStyle w:val="SourceCode"/>
      </w:pPr>
      <w:r>
        <w:rPr>
          <w:rStyle w:val="NormalTok"/>
        </w:rPr>
        <w:t xml:space="preserve">rf_rates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volatilities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expected_return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br/>
      </w:r>
      <w:r>
        <w:rPr>
          <w:rStyle w:val="NormalTok"/>
        </w:rPr>
        <w:t xml:space="preserve">sharpe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(rf_rates),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(volatilities)))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(rf_rates):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vol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(volatilities):</w:t>
      </w:r>
      <w:r>
        <w:br/>
      </w:r>
      <w:r>
        <w:rPr>
          <w:rStyle w:val="NormalTok"/>
        </w:rPr>
        <w:t xml:space="preserve">        sharpe[i, 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(expected_return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rf)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vol</w:t>
      </w:r>
    </w:p>
    <w:p>
      <w:pPr>
        <w:pStyle w:val="FirstParagraph"/>
      </w:pPr>
      <w:r>
        <w:t xml:space="preserve">At the lowest risk-free rate (2 %) and volatility (10 %), the Sharpe ratio</w:t>
      </w:r>
      <w:r>
        <w:t xml:space="preserve"> </w:t>
      </w:r>
      <w:r>
        <w:t xml:space="preserve">reaches 1.00, indicating a favourable risk-return trade-off. As either</w:t>
      </w:r>
      <w:r>
        <w:t xml:space="preserve"> </w:t>
      </w:r>
      <w:r>
        <w:t xml:space="preserve">parameter increases, the ratio declines monotonically. Portfolios with</w:t>
      </w:r>
      <w:r>
        <w:t xml:space="preserve"> </w:t>
      </w:r>
      <w:r>
        <w:t xml:space="preserve">volatility above 16 % or risk-free rates above 5 % fall below a Sharpe ratio</w:t>
      </w:r>
      <w:r>
        <w:t xml:space="preserve"> </w:t>
      </w:r>
      <w:r>
        <w:t xml:space="preserve">of 0.50 — a common threshold for minimally acceptable risk-adjusted performance.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Sharpe ratio heatmap" title="" id="70" name="Picture"/>
            <a:graphic>
              <a:graphicData uri="http://schemas.openxmlformats.org/drawingml/2006/picture">
                <pic:pic>
                  <pic:nvPicPr>
                    <pic:cNvPr descr="images/sharpe-heatmap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Sharpe ratio heatmap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sample document exercises nearly every feature that can appear in a typical markdown-to-PDF workflow, including embedded images of financial charts. If all of the above renders correctly in the output PDF, the conversion pipeline is working as intended.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First footnote with additional explanation.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Second footnote providing supplementary reference information.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  <w:ind w:right="3600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  <w:ind w:right="360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0" w:before="200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65" Target="media/rId65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36" Target="https://docs.github.com/en/actions" TargetMode="External" /><Relationship Type="http://schemas.openxmlformats.org/officeDocument/2006/relationships/hyperlink" Id="rId37" Target="https://pandoc.org/MANUAL.html" TargetMode="External" /><Relationship Type="http://schemas.openxmlformats.org/officeDocument/2006/relationships/hyperlink" Id="rId38" Target="https://www.libreoffi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cs.github.com/en/actions" TargetMode="External" /><Relationship Type="http://schemas.openxmlformats.org/officeDocument/2006/relationships/hyperlink" Id="rId37" Target="https://pandoc.org/MANUAL.html" TargetMode="External" /><Relationship Type="http://schemas.openxmlformats.org/officeDocument/2006/relationships/hyperlink" Id="rId38" Target="https://www.libreoffi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2026-07-29T13:16:32Z</dcterms:created>
  <dcterms:modified xsi:type="dcterms:W3CDTF">2026-07-29T13:16:32Z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