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A795E" w14:textId="77777777" w:rsidR="00E821FD" w:rsidRPr="002E4176" w:rsidRDefault="00000000">
      <w:pPr>
        <w:pStyle w:val="Title"/>
        <w:spacing w:after="80"/>
        <w:rPr>
          <w:rFonts w:ascii="Arial" w:hAnsi="Arial" w:cs="Arial"/>
          <w:sz w:val="22"/>
          <w:szCs w:val="22"/>
        </w:rPr>
      </w:pPr>
      <w:r w:rsidRPr="002E4176">
        <w:rPr>
          <w:rFonts w:ascii="Arial" w:hAnsi="Arial" w:cs="Arial"/>
          <w:sz w:val="22"/>
          <w:szCs w:val="22"/>
        </w:rPr>
        <w:t>Architecture Decision Records</w:t>
      </w:r>
    </w:p>
    <w:p w14:paraId="1B3EB0EA" w14:textId="77777777" w:rsidR="00E821FD" w:rsidRPr="002E4176" w:rsidRDefault="00000000">
      <w:pPr>
        <w:spacing w:after="60" w:line="276" w:lineRule="auto"/>
        <w:rPr>
          <w:rFonts w:ascii="Arial" w:hAnsi="Arial" w:cs="Arial"/>
          <w:sz w:val="22"/>
          <w:szCs w:val="22"/>
        </w:rPr>
      </w:pPr>
      <w:r w:rsidRPr="002E4176">
        <w:rPr>
          <w:rFonts w:ascii="Arial" w:hAnsi="Arial" w:cs="Arial"/>
          <w:sz w:val="22"/>
          <w:szCs w:val="22"/>
        </w:rPr>
        <w:t>ConnectSphere Event Planning and Venue Booking System  ·  IS212 (AY 2026/27 T1)</w:t>
      </w:r>
    </w:p>
    <w:p w14:paraId="4F15C977" w14:textId="77777777" w:rsidR="00E821FD" w:rsidRPr="002E4176" w:rsidRDefault="00000000">
      <w:pPr>
        <w:spacing w:after="240" w:line="276" w:lineRule="auto"/>
        <w:rPr>
          <w:rFonts w:ascii="Arial" w:hAnsi="Arial" w:cs="Arial"/>
          <w:sz w:val="22"/>
          <w:szCs w:val="22"/>
        </w:rPr>
      </w:pPr>
      <w:r w:rsidRPr="002E4176">
        <w:rPr>
          <w:rFonts w:ascii="Arial" w:hAnsi="Arial" w:cs="Arial"/>
          <w:i/>
          <w:iCs/>
          <w:sz w:val="22"/>
          <w:szCs w:val="22"/>
        </w:rPr>
        <w:t>Version 3  ·  11 September 2026</w:t>
      </w:r>
    </w:p>
    <w:p w14:paraId="11DEBD83" w14:textId="77777777" w:rsidR="00E821FD" w:rsidRPr="002E4176" w:rsidRDefault="00000000">
      <w:pPr>
        <w:spacing w:after="100" w:line="276" w:lineRule="auto"/>
        <w:rPr>
          <w:rFonts w:ascii="Arial" w:hAnsi="Arial" w:cs="Arial"/>
          <w:sz w:val="22"/>
          <w:szCs w:val="22"/>
        </w:rPr>
      </w:pPr>
      <w:r w:rsidRPr="002E4176">
        <w:rPr>
          <w:rFonts w:ascii="Arial" w:hAnsi="Arial" w:cs="Arial"/>
          <w:sz w:val="22"/>
          <w:szCs w:val="22"/>
        </w:rPr>
        <w:t>Thirteen decisions: eleven Accepted and two Retired. Each records the forces that applied, what was chosen, what was rejected and why, and the consequences including the ones that hurt.</w:t>
      </w:r>
    </w:p>
    <w:p w14:paraId="291917EB" w14:textId="77777777" w:rsidR="00E821FD" w:rsidRPr="002E4176" w:rsidRDefault="00000000">
      <w:pPr>
        <w:spacing w:after="100" w:line="276" w:lineRule="auto"/>
        <w:rPr>
          <w:rFonts w:ascii="Arial" w:hAnsi="Arial" w:cs="Arial"/>
          <w:sz w:val="22"/>
          <w:szCs w:val="22"/>
        </w:rPr>
      </w:pPr>
      <w:r w:rsidRPr="002E4176">
        <w:rPr>
          <w:rFonts w:ascii="Arial" w:hAnsi="Arial" w:cs="Arial"/>
          <w:sz w:val="22"/>
          <w:szCs w:val="22"/>
        </w:rPr>
        <w:t>Version 3 retires ADR-004 and ADR-005 following the Week 4 customer clarification recorded as BDR C-62, which established that a multi-session event must be set up as separate events. Both records are kept rather than deleted: a retired decision with its reasoning intact shows that the choice was sound on the evidence available and was superseded by new information, which is a stronger position in the Week 13 Q&amp;A than a document that silently never held the view.</w:t>
      </w:r>
    </w:p>
    <w:p w14:paraId="42B7573B" w14:textId="77777777" w:rsidR="00E821FD" w:rsidRPr="002E4176" w:rsidRDefault="00000000">
      <w:pPr>
        <w:spacing w:after="200" w:line="276" w:lineRule="auto"/>
        <w:rPr>
          <w:rFonts w:ascii="Arial" w:hAnsi="Arial" w:cs="Arial"/>
          <w:sz w:val="22"/>
          <w:szCs w:val="22"/>
        </w:rPr>
      </w:pPr>
      <w:r w:rsidRPr="002E4176">
        <w:rPr>
          <w:rFonts w:ascii="Arial" w:hAnsi="Arial" w:cs="Arial"/>
          <w:sz w:val="22"/>
          <w:szCs w:val="22"/>
        </w:rPr>
        <w:t>References to requirements use the Week 1 Customer Briefing (§), the Week 4 core feature list, and story IDs from CONNECTSPHERE_BACKLOGS.xlsx. The Related BDR field on each record points into the Backlog Decision Review, where C- entries are customer clarifications, T- entries are team decisions, O- entries are open assumptions and B- entries are story boundary rulings.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8160"/>
      </w:tblGrid>
      <w:tr w:rsidR="00E821FD" w:rsidRPr="002E4176" w14:paraId="0D56CFE2" w14:textId="77777777">
        <w:tblPrEx>
          <w:tblCellMar>
            <w:top w:w="0" w:type="dxa"/>
            <w:bottom w:w="0" w:type="dxa"/>
          </w:tblCellMar>
        </w:tblPrEx>
        <w:trPr>
          <w:tblHeader/>
        </w:trPr>
        <w:tc>
          <w:tcPr>
            <w:tcW w:w="1200" w:type="dxa"/>
            <w:shd w:val="clear" w:color="auto" w:fill="D9D9D9"/>
            <w:tcMar>
              <w:top w:w="70" w:type="dxa"/>
              <w:left w:w="100" w:type="dxa"/>
              <w:bottom w:w="70" w:type="dxa"/>
              <w:right w:w="100" w:type="dxa"/>
            </w:tcMar>
          </w:tcPr>
          <w:p w14:paraId="0E9A4981"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Record</w:t>
            </w:r>
          </w:p>
        </w:tc>
        <w:tc>
          <w:tcPr>
            <w:tcW w:w="8160" w:type="dxa"/>
            <w:shd w:val="clear" w:color="auto" w:fill="D9D9D9"/>
            <w:tcMar>
              <w:top w:w="70" w:type="dxa"/>
              <w:left w:w="100" w:type="dxa"/>
              <w:bottom w:w="70" w:type="dxa"/>
              <w:right w:w="100" w:type="dxa"/>
            </w:tcMar>
          </w:tcPr>
          <w:p w14:paraId="50028FE3"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Decision</w:t>
            </w:r>
          </w:p>
        </w:tc>
      </w:tr>
      <w:tr w:rsidR="00E821FD" w:rsidRPr="002E4176" w14:paraId="59044E45" w14:textId="77777777">
        <w:tblPrEx>
          <w:tblCellMar>
            <w:top w:w="0" w:type="dxa"/>
            <w:bottom w:w="0" w:type="dxa"/>
          </w:tblCellMar>
        </w:tblPrEx>
        <w:tc>
          <w:tcPr>
            <w:tcW w:w="1200" w:type="dxa"/>
            <w:tcMar>
              <w:top w:w="70" w:type="dxa"/>
              <w:left w:w="100" w:type="dxa"/>
              <w:bottom w:w="70" w:type="dxa"/>
              <w:right w:w="100" w:type="dxa"/>
            </w:tcMar>
          </w:tcPr>
          <w:p w14:paraId="5671D177"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ADR-001</w:t>
            </w:r>
          </w:p>
        </w:tc>
        <w:tc>
          <w:tcPr>
            <w:tcW w:w="8160" w:type="dxa"/>
            <w:tcMar>
              <w:top w:w="70" w:type="dxa"/>
              <w:left w:w="100" w:type="dxa"/>
              <w:bottom w:w="70" w:type="dxa"/>
              <w:right w:w="100" w:type="dxa"/>
            </w:tcMar>
          </w:tcPr>
          <w:p w14:paraId="677D9D31"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Modular monolith rather than microservices</w:t>
            </w:r>
          </w:p>
        </w:tc>
      </w:tr>
      <w:tr w:rsidR="00E821FD" w:rsidRPr="002E4176" w14:paraId="465895EE"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153B955F"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ADR-002</w:t>
            </w:r>
          </w:p>
        </w:tc>
        <w:tc>
          <w:tcPr>
            <w:tcW w:w="8160" w:type="dxa"/>
            <w:shd w:val="clear" w:color="auto" w:fill="F2F2F2"/>
            <w:tcMar>
              <w:top w:w="70" w:type="dxa"/>
              <w:left w:w="100" w:type="dxa"/>
              <w:bottom w:w="70" w:type="dxa"/>
              <w:right w:w="100" w:type="dxa"/>
            </w:tcMar>
          </w:tcPr>
          <w:p w14:paraId="29DE0AFF"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PostgreSQL as the system of record</w:t>
            </w:r>
          </w:p>
        </w:tc>
      </w:tr>
      <w:tr w:rsidR="00E821FD" w:rsidRPr="002E4176" w14:paraId="6B52AABA" w14:textId="77777777">
        <w:tblPrEx>
          <w:tblCellMar>
            <w:top w:w="0" w:type="dxa"/>
            <w:bottom w:w="0" w:type="dxa"/>
          </w:tblCellMar>
        </w:tblPrEx>
        <w:tc>
          <w:tcPr>
            <w:tcW w:w="1200" w:type="dxa"/>
            <w:tcMar>
              <w:top w:w="70" w:type="dxa"/>
              <w:left w:w="100" w:type="dxa"/>
              <w:bottom w:w="70" w:type="dxa"/>
              <w:right w:w="100" w:type="dxa"/>
            </w:tcMar>
          </w:tcPr>
          <w:p w14:paraId="4F7C9544"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ADR-003</w:t>
            </w:r>
          </w:p>
        </w:tc>
        <w:tc>
          <w:tcPr>
            <w:tcW w:w="8160" w:type="dxa"/>
            <w:tcMar>
              <w:top w:w="70" w:type="dxa"/>
              <w:left w:w="100" w:type="dxa"/>
              <w:bottom w:w="70" w:type="dxa"/>
              <w:right w:w="100" w:type="dxa"/>
            </w:tcMar>
          </w:tcPr>
          <w:p w14:paraId="79772851"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Enforce booking and assignment conflicts in the database</w:t>
            </w:r>
          </w:p>
        </w:tc>
      </w:tr>
      <w:tr w:rsidR="00E821FD" w:rsidRPr="002E4176" w14:paraId="4D48E513"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5D6C92C9"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ADR-004</w:t>
            </w:r>
          </w:p>
        </w:tc>
        <w:tc>
          <w:tcPr>
            <w:tcW w:w="8160" w:type="dxa"/>
            <w:shd w:val="clear" w:color="auto" w:fill="F2F2F2"/>
            <w:tcMar>
              <w:top w:w="70" w:type="dxa"/>
              <w:left w:w="100" w:type="dxa"/>
              <w:bottom w:w="70" w:type="dxa"/>
              <w:right w:w="100" w:type="dxa"/>
            </w:tcMar>
          </w:tcPr>
          <w:p w14:paraId="2948148B" w14:textId="77777777" w:rsidR="00E821FD" w:rsidRPr="002E4176" w:rsidRDefault="00000000">
            <w:pPr>
              <w:spacing w:line="276" w:lineRule="auto"/>
              <w:rPr>
                <w:rFonts w:ascii="Arial" w:hAnsi="Arial" w:cs="Arial"/>
                <w:sz w:val="22"/>
                <w:szCs w:val="22"/>
              </w:rPr>
            </w:pPr>
            <w:r w:rsidRPr="002E4176">
              <w:rPr>
                <w:rFonts w:ascii="Arial" w:hAnsi="Arial" w:cs="Arial"/>
                <w:i/>
                <w:iCs/>
                <w:sz w:val="22"/>
                <w:szCs w:val="22"/>
              </w:rPr>
              <w:t>Sessions as a first-class entity — RETIRED</w:t>
            </w:r>
          </w:p>
        </w:tc>
      </w:tr>
      <w:tr w:rsidR="00E821FD" w:rsidRPr="002E4176" w14:paraId="530BB364" w14:textId="77777777">
        <w:tblPrEx>
          <w:tblCellMar>
            <w:top w:w="0" w:type="dxa"/>
            <w:bottom w:w="0" w:type="dxa"/>
          </w:tblCellMar>
        </w:tblPrEx>
        <w:tc>
          <w:tcPr>
            <w:tcW w:w="1200" w:type="dxa"/>
            <w:tcMar>
              <w:top w:w="70" w:type="dxa"/>
              <w:left w:w="100" w:type="dxa"/>
              <w:bottom w:w="70" w:type="dxa"/>
              <w:right w:w="100" w:type="dxa"/>
            </w:tcMar>
          </w:tcPr>
          <w:p w14:paraId="0088D5CF"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ADR-005</w:t>
            </w:r>
          </w:p>
        </w:tc>
        <w:tc>
          <w:tcPr>
            <w:tcW w:w="8160" w:type="dxa"/>
            <w:tcMar>
              <w:top w:w="70" w:type="dxa"/>
              <w:left w:w="100" w:type="dxa"/>
              <w:bottom w:w="70" w:type="dxa"/>
              <w:right w:w="100" w:type="dxa"/>
            </w:tcMar>
          </w:tcPr>
          <w:p w14:paraId="1C7F19C1" w14:textId="77777777" w:rsidR="00E821FD" w:rsidRPr="002E4176" w:rsidRDefault="00000000">
            <w:pPr>
              <w:spacing w:line="276" w:lineRule="auto"/>
              <w:rPr>
                <w:rFonts w:ascii="Arial" w:hAnsi="Arial" w:cs="Arial"/>
                <w:sz w:val="22"/>
                <w:szCs w:val="22"/>
              </w:rPr>
            </w:pPr>
            <w:r w:rsidRPr="002E4176">
              <w:rPr>
                <w:rFonts w:ascii="Arial" w:hAnsi="Arial" w:cs="Arial"/>
                <w:i/>
                <w:iCs/>
                <w:sz w:val="22"/>
                <w:szCs w:val="22"/>
              </w:rPr>
              <w:t>Denormalise event_id, guarded by a composite foreign key — RETIRED</w:t>
            </w:r>
          </w:p>
        </w:tc>
      </w:tr>
      <w:tr w:rsidR="00E821FD" w:rsidRPr="002E4176" w14:paraId="7164C596"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02EDE41A"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ADR-006</w:t>
            </w:r>
          </w:p>
        </w:tc>
        <w:tc>
          <w:tcPr>
            <w:tcW w:w="8160" w:type="dxa"/>
            <w:shd w:val="clear" w:color="auto" w:fill="F2F2F2"/>
            <w:tcMar>
              <w:top w:w="70" w:type="dxa"/>
              <w:left w:w="100" w:type="dxa"/>
              <w:bottom w:w="70" w:type="dxa"/>
              <w:right w:w="100" w:type="dxa"/>
            </w:tcMar>
          </w:tcPr>
          <w:p w14:paraId="7B54704A"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Asynchronous notification delivery</w:t>
            </w:r>
          </w:p>
        </w:tc>
      </w:tr>
      <w:tr w:rsidR="00E821FD" w:rsidRPr="002E4176" w14:paraId="644DE747" w14:textId="77777777">
        <w:tblPrEx>
          <w:tblCellMar>
            <w:top w:w="0" w:type="dxa"/>
            <w:bottom w:w="0" w:type="dxa"/>
          </w:tblCellMar>
        </w:tblPrEx>
        <w:tc>
          <w:tcPr>
            <w:tcW w:w="1200" w:type="dxa"/>
            <w:tcMar>
              <w:top w:w="70" w:type="dxa"/>
              <w:left w:w="100" w:type="dxa"/>
              <w:bottom w:w="70" w:type="dxa"/>
              <w:right w:w="100" w:type="dxa"/>
            </w:tcMar>
          </w:tcPr>
          <w:p w14:paraId="41FD0241"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ADR-007</w:t>
            </w:r>
          </w:p>
        </w:tc>
        <w:tc>
          <w:tcPr>
            <w:tcW w:w="8160" w:type="dxa"/>
            <w:tcMar>
              <w:top w:w="70" w:type="dxa"/>
              <w:left w:w="100" w:type="dxa"/>
              <w:bottom w:w="70" w:type="dxa"/>
              <w:right w:w="100" w:type="dxa"/>
            </w:tcMar>
          </w:tcPr>
          <w:p w14:paraId="224C4DB5"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One single-page application for all five roles</w:t>
            </w:r>
          </w:p>
        </w:tc>
      </w:tr>
      <w:tr w:rsidR="00E821FD" w:rsidRPr="002E4176" w14:paraId="527E69F3"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1BAE766C"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ADR-008</w:t>
            </w:r>
          </w:p>
        </w:tc>
        <w:tc>
          <w:tcPr>
            <w:tcW w:w="8160" w:type="dxa"/>
            <w:shd w:val="clear" w:color="auto" w:fill="F2F2F2"/>
            <w:tcMar>
              <w:top w:w="70" w:type="dxa"/>
              <w:left w:w="100" w:type="dxa"/>
              <w:bottom w:w="70" w:type="dxa"/>
              <w:right w:w="100" w:type="dxa"/>
            </w:tcMar>
          </w:tcPr>
          <w:p w14:paraId="0F01C8BB"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Client organisation as the tenancy boundary</w:t>
            </w:r>
          </w:p>
        </w:tc>
      </w:tr>
      <w:tr w:rsidR="00E821FD" w:rsidRPr="002E4176" w14:paraId="5C45E1C4" w14:textId="77777777">
        <w:tblPrEx>
          <w:tblCellMar>
            <w:top w:w="0" w:type="dxa"/>
            <w:bottom w:w="0" w:type="dxa"/>
          </w:tblCellMar>
        </w:tblPrEx>
        <w:tc>
          <w:tcPr>
            <w:tcW w:w="1200" w:type="dxa"/>
            <w:tcMar>
              <w:top w:w="70" w:type="dxa"/>
              <w:left w:w="100" w:type="dxa"/>
              <w:bottom w:w="70" w:type="dxa"/>
              <w:right w:w="100" w:type="dxa"/>
            </w:tcMar>
          </w:tcPr>
          <w:p w14:paraId="56B37C12"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ADR-009</w:t>
            </w:r>
          </w:p>
        </w:tc>
        <w:tc>
          <w:tcPr>
            <w:tcW w:w="8160" w:type="dxa"/>
            <w:tcMar>
              <w:top w:w="70" w:type="dxa"/>
              <w:left w:w="100" w:type="dxa"/>
              <w:bottom w:w="70" w:type="dxa"/>
              <w:right w:w="100" w:type="dxa"/>
            </w:tcMar>
          </w:tcPr>
          <w:p w14:paraId="3EABB4DA"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A single audit log with a polymorphic target</w:t>
            </w:r>
          </w:p>
        </w:tc>
      </w:tr>
      <w:tr w:rsidR="00E821FD" w:rsidRPr="002E4176" w14:paraId="001A6D1D"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7FF2FC7B"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ADR-010</w:t>
            </w:r>
          </w:p>
        </w:tc>
        <w:tc>
          <w:tcPr>
            <w:tcW w:w="8160" w:type="dxa"/>
            <w:shd w:val="clear" w:color="auto" w:fill="F2F2F2"/>
            <w:tcMar>
              <w:top w:w="70" w:type="dxa"/>
              <w:left w:w="100" w:type="dxa"/>
              <w:bottom w:w="70" w:type="dxa"/>
              <w:right w:w="100" w:type="dxa"/>
            </w:tcMar>
          </w:tcPr>
          <w:p w14:paraId="27CD0A8C"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Separate equipment request from equipment reservation</w:t>
            </w:r>
          </w:p>
        </w:tc>
      </w:tr>
      <w:tr w:rsidR="00E821FD" w:rsidRPr="002E4176" w14:paraId="16CE5983" w14:textId="77777777">
        <w:tblPrEx>
          <w:tblCellMar>
            <w:top w:w="0" w:type="dxa"/>
            <w:bottom w:w="0" w:type="dxa"/>
          </w:tblCellMar>
        </w:tblPrEx>
        <w:tc>
          <w:tcPr>
            <w:tcW w:w="1200" w:type="dxa"/>
            <w:tcMar>
              <w:top w:w="70" w:type="dxa"/>
              <w:left w:w="100" w:type="dxa"/>
              <w:bottom w:w="70" w:type="dxa"/>
              <w:right w:w="100" w:type="dxa"/>
            </w:tcMar>
          </w:tcPr>
          <w:p w14:paraId="10D89342"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ADR-011</w:t>
            </w:r>
          </w:p>
        </w:tc>
        <w:tc>
          <w:tcPr>
            <w:tcW w:w="8160" w:type="dxa"/>
            <w:tcMar>
              <w:top w:w="70" w:type="dxa"/>
              <w:left w:w="100" w:type="dxa"/>
              <w:bottom w:w="70" w:type="dxa"/>
              <w:right w:w="100" w:type="dxa"/>
            </w:tcMar>
          </w:tcPr>
          <w:p w14:paraId="5F95F469"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Controlled vocabularies for accessibility and facilities</w:t>
            </w:r>
          </w:p>
        </w:tc>
      </w:tr>
      <w:tr w:rsidR="00E821FD" w:rsidRPr="002E4176" w14:paraId="6773A94E" w14:textId="77777777">
        <w:tblPrEx>
          <w:tblCellMar>
            <w:top w:w="0" w:type="dxa"/>
            <w:bottom w:w="0" w:type="dxa"/>
          </w:tblCellMar>
        </w:tblPrEx>
        <w:tc>
          <w:tcPr>
            <w:tcW w:w="1200" w:type="dxa"/>
            <w:shd w:val="clear" w:color="auto" w:fill="F2F2F2"/>
            <w:tcMar>
              <w:top w:w="70" w:type="dxa"/>
              <w:left w:w="100" w:type="dxa"/>
              <w:bottom w:w="70" w:type="dxa"/>
              <w:right w:w="100" w:type="dxa"/>
            </w:tcMar>
          </w:tcPr>
          <w:p w14:paraId="054CBBD4"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ADR-012</w:t>
            </w:r>
          </w:p>
        </w:tc>
        <w:tc>
          <w:tcPr>
            <w:tcW w:w="8160" w:type="dxa"/>
            <w:shd w:val="clear" w:color="auto" w:fill="F2F2F2"/>
            <w:tcMar>
              <w:top w:w="70" w:type="dxa"/>
              <w:left w:w="100" w:type="dxa"/>
              <w:bottom w:w="70" w:type="dxa"/>
              <w:right w:w="100" w:type="dxa"/>
            </w:tcMar>
          </w:tcPr>
          <w:p w14:paraId="6BCE6132"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One role per account in release 1</w:t>
            </w:r>
          </w:p>
        </w:tc>
      </w:tr>
      <w:tr w:rsidR="00E821FD" w:rsidRPr="002E4176" w14:paraId="5E00A759" w14:textId="77777777">
        <w:tblPrEx>
          <w:tblCellMar>
            <w:top w:w="0" w:type="dxa"/>
            <w:bottom w:w="0" w:type="dxa"/>
          </w:tblCellMar>
        </w:tblPrEx>
        <w:tc>
          <w:tcPr>
            <w:tcW w:w="1200" w:type="dxa"/>
            <w:tcMar>
              <w:top w:w="70" w:type="dxa"/>
              <w:left w:w="100" w:type="dxa"/>
              <w:bottom w:w="70" w:type="dxa"/>
              <w:right w:w="100" w:type="dxa"/>
            </w:tcMar>
          </w:tcPr>
          <w:p w14:paraId="5B331623"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ADR-013</w:t>
            </w:r>
          </w:p>
        </w:tc>
        <w:tc>
          <w:tcPr>
            <w:tcW w:w="8160" w:type="dxa"/>
            <w:tcMar>
              <w:top w:w="70" w:type="dxa"/>
              <w:left w:w="100" w:type="dxa"/>
              <w:bottom w:w="70" w:type="dxa"/>
              <w:right w:w="100" w:type="dxa"/>
            </w:tcMar>
          </w:tcPr>
          <w:p w14:paraId="51E51FC5"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Separate the backlog data from the reasoning behind it</w:t>
            </w:r>
          </w:p>
        </w:tc>
      </w:tr>
    </w:tbl>
    <w:p w14:paraId="5A20F8EB" w14:textId="77777777" w:rsidR="00E821FD" w:rsidRPr="002E4176" w:rsidRDefault="00000000">
      <w:pPr>
        <w:pStyle w:val="Heading1"/>
        <w:pageBreakBefore/>
        <w:spacing w:before="240" w:after="140"/>
        <w:rPr>
          <w:rFonts w:ascii="Arial" w:hAnsi="Arial" w:cs="Arial"/>
          <w:color w:val="auto"/>
          <w:sz w:val="22"/>
          <w:szCs w:val="22"/>
        </w:rPr>
      </w:pPr>
      <w:r w:rsidRPr="002E4176">
        <w:rPr>
          <w:rFonts w:ascii="Arial" w:hAnsi="Arial" w:cs="Arial"/>
          <w:color w:val="auto"/>
          <w:sz w:val="22"/>
          <w:szCs w:val="22"/>
        </w:rPr>
        <w:lastRenderedPageBreak/>
        <w:t>ADR-001 — Modular monolith rather than microservices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E821FD" w:rsidRPr="002E4176" w14:paraId="16A843F6"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3DFA2550"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Status</w:t>
            </w:r>
          </w:p>
        </w:tc>
        <w:tc>
          <w:tcPr>
            <w:tcW w:w="7860" w:type="dxa"/>
            <w:shd w:val="clear" w:color="auto" w:fill="F7F7F7"/>
            <w:tcMar>
              <w:top w:w="70" w:type="dxa"/>
              <w:left w:w="100" w:type="dxa"/>
              <w:bottom w:w="70" w:type="dxa"/>
              <w:right w:w="100" w:type="dxa"/>
            </w:tcMar>
          </w:tcPr>
          <w:p w14:paraId="40765504"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Accepted</w:t>
            </w:r>
          </w:p>
        </w:tc>
      </w:tr>
      <w:tr w:rsidR="00E821FD" w:rsidRPr="002E4176" w14:paraId="78262CDC"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5043EF1C"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Related BDR</w:t>
            </w:r>
          </w:p>
        </w:tc>
        <w:tc>
          <w:tcPr>
            <w:tcW w:w="7860" w:type="dxa"/>
            <w:shd w:val="clear" w:color="auto" w:fill="F7F7F7"/>
            <w:tcMar>
              <w:top w:w="70" w:type="dxa"/>
              <w:left w:w="100" w:type="dxa"/>
              <w:bottom w:w="70" w:type="dxa"/>
              <w:right w:w="100" w:type="dxa"/>
            </w:tcMar>
          </w:tcPr>
          <w:p w14:paraId="5938EE98"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C-03, C-13, C-39, T-24</w:t>
            </w:r>
          </w:p>
        </w:tc>
      </w:tr>
    </w:tbl>
    <w:p w14:paraId="6B93E67C"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Context</w:t>
      </w:r>
    </w:p>
    <w:p w14:paraId="23FE18E9"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The hardest requirements in this system are transactional. E06-S06 must prevent a venue being committed to two events. E09-S02 must handle two Attendees claiming the final place simultaneously. E07-S04 must stop the same equipment being reserved for overlapping sessions. §8d requires that users never see contradictory information about dates, bookings, equipment or registration status.</w:t>
      </w:r>
    </w:p>
    <w:p w14:paraId="660E71D7"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Against that, §8e asks for three years of growth for a regional operator with roughly 500 staff, and §8g asks that new functionality and business rules can be added without rebuilding the system. The team is a group of students working across four sprints.</w:t>
      </w:r>
    </w:p>
    <w:p w14:paraId="53324515"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Decision</w:t>
      </w:r>
    </w:p>
    <w:p w14:paraId="4A9119C2"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A single deployable application server containing all domain components, backed by one PostgreSQL database, plus one background worker process for notification delivery. Component boundaries are maintained in the codebase but not across the network.</w:t>
      </w:r>
    </w:p>
    <w:p w14:paraId="3B960D3B"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Alternatives considered</w:t>
      </w:r>
    </w:p>
    <w:p w14:paraId="06865D8A"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Microservices per bounded context (venue, equipment, registration). Rejected because conflict detection and capacity enforcement span those contexts. Registration must read the booked venue's capacity; confirmation must read the event's venue and equipment state. Splitting them means distributed transactions or sagas with compensating actions, and it makes ADR-003 impossible.</w:t>
      </w:r>
    </w:p>
    <w:p w14:paraId="6BBF2716"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Serverless functions. Rejected because connection pooling against a relational database and cold-start latency both work against §8a.</w:t>
      </w:r>
    </w:p>
    <w:p w14:paraId="1F4B5A6D"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this buys us</w:t>
      </w:r>
    </w:p>
    <w:p w14:paraId="28D8BC93"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A single transaction boundary, which is what makes ADR-003 available.</w:t>
      </w:r>
    </w:p>
    <w:p w14:paraId="1DC716FD"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One deployment and one CI pipeline, appropriate to the team size and timeline.</w:t>
      </w:r>
    </w:p>
    <w:p w14:paraId="79C9BB9A"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Component boundaries are preserved in code, so a component can be extracted into a service later if load ever justifies it.</w:t>
      </w:r>
    </w:p>
    <w:p w14:paraId="4B2EFF07"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it costs</w:t>
      </w:r>
    </w:p>
    <w:p w14:paraId="64FA8196"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The application scales as one unit. A heavy reporting query would compete with booking traffic for the same resources.</w:t>
      </w:r>
    </w:p>
    <w:p w14:paraId="794A53B8"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Module boundaries are enforced by convention and code review, not by the network. Without discipline they erode, and nothing fails loudly when they do.</w:t>
      </w:r>
    </w:p>
    <w:p w14:paraId="337AC031"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A fault in one component can bring down the whole process.</w:t>
      </w:r>
    </w:p>
    <w:p w14:paraId="072BE581" w14:textId="77777777" w:rsidR="00E821FD" w:rsidRPr="002E4176" w:rsidRDefault="00000000">
      <w:pPr>
        <w:spacing w:after="60" w:line="276" w:lineRule="auto"/>
        <w:rPr>
          <w:rFonts w:ascii="Arial" w:hAnsi="Arial" w:cs="Arial"/>
          <w:sz w:val="22"/>
          <w:szCs w:val="22"/>
        </w:rPr>
      </w:pPr>
      <w:r w:rsidRPr="002E4176">
        <w:rPr>
          <w:rFonts w:ascii="Arial" w:hAnsi="Arial" w:cs="Arial"/>
          <w:i/>
          <w:iCs/>
          <w:sz w:val="22"/>
          <w:szCs w:val="22"/>
        </w:rPr>
        <w:t>§8g is satisfied by module boundaries rather than deployment boundaries. This is the point most likely to be challenged, and the answer is that maintainability is a property of how the code is organised, not of how many processes it runs in.</w:t>
      </w:r>
    </w:p>
    <w:p w14:paraId="3A104734" w14:textId="77777777" w:rsidR="00E821FD" w:rsidRPr="002E4176" w:rsidRDefault="00000000">
      <w:pPr>
        <w:pStyle w:val="Heading1"/>
        <w:pageBreakBefore/>
        <w:spacing w:before="240" w:after="140"/>
        <w:rPr>
          <w:rFonts w:ascii="Arial" w:hAnsi="Arial" w:cs="Arial"/>
          <w:color w:val="auto"/>
          <w:sz w:val="22"/>
          <w:szCs w:val="22"/>
        </w:rPr>
      </w:pPr>
      <w:r w:rsidRPr="002E4176">
        <w:rPr>
          <w:rFonts w:ascii="Arial" w:hAnsi="Arial" w:cs="Arial"/>
          <w:color w:val="auto"/>
          <w:sz w:val="22"/>
          <w:szCs w:val="22"/>
        </w:rPr>
        <w:lastRenderedPageBreak/>
        <w:t>ADR-002 — PostgreSQL as the system of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E821FD" w:rsidRPr="002E4176" w14:paraId="5E2547CF"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1D88585B"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Status</w:t>
            </w:r>
          </w:p>
        </w:tc>
        <w:tc>
          <w:tcPr>
            <w:tcW w:w="7860" w:type="dxa"/>
            <w:shd w:val="clear" w:color="auto" w:fill="F7F7F7"/>
            <w:tcMar>
              <w:top w:w="70" w:type="dxa"/>
              <w:left w:w="100" w:type="dxa"/>
              <w:bottom w:w="70" w:type="dxa"/>
              <w:right w:w="100" w:type="dxa"/>
            </w:tcMar>
          </w:tcPr>
          <w:p w14:paraId="12B252F5"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Accepted</w:t>
            </w:r>
          </w:p>
        </w:tc>
      </w:tr>
      <w:tr w:rsidR="00E821FD" w:rsidRPr="002E4176" w14:paraId="16312E52"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5740C2FD"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Related BDR</w:t>
            </w:r>
          </w:p>
        </w:tc>
        <w:tc>
          <w:tcPr>
            <w:tcW w:w="7860" w:type="dxa"/>
            <w:shd w:val="clear" w:color="auto" w:fill="F7F7F7"/>
            <w:tcMar>
              <w:top w:w="70" w:type="dxa"/>
              <w:left w:w="100" w:type="dxa"/>
              <w:bottom w:w="70" w:type="dxa"/>
              <w:right w:w="100" w:type="dxa"/>
            </w:tcMar>
          </w:tcPr>
          <w:p w14:paraId="6A85483D"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C-27</w:t>
            </w:r>
          </w:p>
        </w:tc>
      </w:tr>
    </w:tbl>
    <w:p w14:paraId="77CAB150"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Context</w:t>
      </w:r>
    </w:p>
    <w:p w14:paraId="36014CBD"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Almost every scarce resource in this system is booked over a time interval: venues, equipment quantities, and technical staff. §8d requires consistency across related arrangements and §8f requires an audit trail of what changed, who changed it and when.</w:t>
      </w:r>
    </w:p>
    <w:p w14:paraId="6AE9C01B"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Decision</w:t>
      </w:r>
    </w:p>
    <w:p w14:paraId="247BB6A9"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PostgreSQL 16, using tstzrange for every time interval, with the btree_gist extension enabled.</w:t>
      </w:r>
    </w:p>
    <w:p w14:paraId="391B25C5"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Alternatives considered</w:t>
      </w:r>
    </w:p>
    <w:p w14:paraId="6184CF21"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MySQL. Rejected because it has no native range type and no exclusion constraints, so all overlap detection falls back to application logic.</w:t>
      </w:r>
    </w:p>
    <w:p w14:paraId="3F0B19A7"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A document store. Rejected because overlap queries are awkward and the multi-entity consistency §8d requires would have to be built by hand.</w:t>
      </w:r>
    </w:p>
    <w:p w14:paraId="27E3EE64"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Separate start_time and end_time columns. Rejected because overlap predicates then need four comparisons and are easy to get wrong at the boundaries, particularly around inclusive versus exclusive endpoints.</w:t>
      </w:r>
    </w:p>
    <w:p w14:paraId="6E3D3A2F"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this buys us</w:t>
      </w:r>
    </w:p>
    <w:p w14:paraId="3DEDFE55"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Overlap is expressed as a single &amp;&amp; predicate rather than a hand-written comparison.</w:t>
      </w:r>
    </w:p>
    <w:p w14:paraId="6E42D406"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ADR-003 becomes available.</w:t>
      </w:r>
    </w:p>
    <w:p w14:paraId="14CCDF85"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jsonb is available for CHANGE_REQUESTS.requested_changes, which has no fixed shape.</w:t>
      </w:r>
    </w:p>
    <w:p w14:paraId="12A7B62E"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it costs</w:t>
      </w:r>
    </w:p>
    <w:p w14:paraId="4704B36A"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The team must learn range types and GiST indexing, which are unfamiliar.</w:t>
      </w:r>
    </w:p>
    <w:p w14:paraId="1A63C5E6"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The design is tied to PostgreSQL. Porting to another engine would mean rewriting the constraints as application logic.</w:t>
      </w:r>
    </w:p>
    <w:p w14:paraId="00ABBA9C" w14:textId="77777777" w:rsidR="00E821FD" w:rsidRPr="002E4176" w:rsidRDefault="00000000">
      <w:pPr>
        <w:pStyle w:val="Heading1"/>
        <w:pageBreakBefore/>
        <w:spacing w:before="240" w:after="140"/>
        <w:rPr>
          <w:rFonts w:ascii="Arial" w:hAnsi="Arial" w:cs="Arial"/>
          <w:color w:val="auto"/>
          <w:sz w:val="22"/>
          <w:szCs w:val="22"/>
        </w:rPr>
      </w:pPr>
      <w:r w:rsidRPr="002E4176">
        <w:rPr>
          <w:rFonts w:ascii="Arial" w:hAnsi="Arial" w:cs="Arial"/>
          <w:color w:val="auto"/>
          <w:sz w:val="22"/>
          <w:szCs w:val="22"/>
        </w:rPr>
        <w:lastRenderedPageBreak/>
        <w:t>ADR-003 — Enforce booking and assignment conflicts in the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E821FD" w:rsidRPr="002E4176" w14:paraId="205C3F5F"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5722B309"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Status</w:t>
            </w:r>
          </w:p>
        </w:tc>
        <w:tc>
          <w:tcPr>
            <w:tcW w:w="7860" w:type="dxa"/>
            <w:shd w:val="clear" w:color="auto" w:fill="F7F7F7"/>
            <w:tcMar>
              <w:top w:w="70" w:type="dxa"/>
              <w:left w:w="100" w:type="dxa"/>
              <w:bottom w:w="70" w:type="dxa"/>
              <w:right w:w="100" w:type="dxa"/>
            </w:tcMar>
          </w:tcPr>
          <w:p w14:paraId="693B3B3B"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Accepted</w:t>
            </w:r>
          </w:p>
        </w:tc>
      </w:tr>
      <w:tr w:rsidR="00E821FD" w:rsidRPr="002E4176" w14:paraId="2B98911E"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0DF7D96F"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Related BDR</w:t>
            </w:r>
          </w:p>
        </w:tc>
        <w:tc>
          <w:tcPr>
            <w:tcW w:w="7860" w:type="dxa"/>
            <w:shd w:val="clear" w:color="auto" w:fill="F7F7F7"/>
            <w:tcMar>
              <w:top w:w="70" w:type="dxa"/>
              <w:left w:w="100" w:type="dxa"/>
              <w:bottom w:w="70" w:type="dxa"/>
              <w:right w:w="100" w:type="dxa"/>
            </w:tcMar>
          </w:tcPr>
          <w:p w14:paraId="785D3A75"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C-01, C-16, C-37, C-46</w:t>
            </w:r>
          </w:p>
        </w:tc>
      </w:tr>
    </w:tbl>
    <w:p w14:paraId="1703F40F"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Context</w:t>
      </w:r>
    </w:p>
    <w:p w14:paraId="0DB693DB"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E06-S06 Scenario 3 states that when another Venue Staff member approves a conflicting request moments earlier, the second approval must fail and the approver must be told the venue has just been taken. E07-S07 states a colleague cannot hold two overlapping assignments. A check-then-insert in application code has a race window: two concurrent approvals can both read the venue as free before either writes.</w:t>
      </w:r>
    </w:p>
    <w:p w14:paraId="3052F913"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Decision</w:t>
      </w:r>
    </w:p>
    <w:p w14:paraId="7A2A106F"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Exclusion constraints in the database:</w:t>
      </w:r>
    </w:p>
    <w:p w14:paraId="3AC57DEB"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ALTER TABLE venue_bookings ADD CONSTRAINT no_double_booking EXCLUDE USING gist (venue_id WITH =, booking_range WITH &amp;&amp;) WHERE (status = 'confirmed');</w:t>
      </w:r>
    </w:p>
    <w:p w14:paraId="457C6322"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ALTER TABLE tech_staff_assignments ADD CONSTRAINT no_staff_overlap EXCLUDE USING gist (staff_id WITH =, assignment_range WITH &amp;&amp;) WHERE (status = 'active');</w:t>
      </w:r>
    </w:p>
    <w:p w14:paraId="4FF3E31F"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Alternatives considered</w:t>
      </w:r>
    </w:p>
    <w:p w14:paraId="5A5CF8F2"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Application-level check before insert. Rejected: this is precisely the race E06-S06 Scenario 3 describes, and no amount of care in application code closes it.</w:t>
      </w:r>
    </w:p>
    <w:p w14:paraId="3BC75034"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Pessimistic locking with SELECT FOR UPDATE. Correct, but requires every code path touching bookings to take the lock in the right order. One missed path reopens the hole.</w:t>
      </w:r>
    </w:p>
    <w:p w14:paraId="685CB122"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SERIALIZABLE isolation. Correct, but raises abort rates across all transactions and pushes retry logic into every caller.</w:t>
      </w:r>
    </w:p>
    <w:p w14:paraId="470441D0"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this buys us</w:t>
      </w:r>
    </w:p>
    <w:p w14:paraId="095DA7F3"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Correctness under concurrency is guaranteed by construction rather than by developer discipline.</w:t>
      </w:r>
    </w:p>
    <w:p w14:paraId="6900D184"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The race scenario needs far less test scaffolding, because the database cannot permit the bad state.</w:t>
      </w:r>
    </w:p>
    <w:p w14:paraId="5F72B6A7"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it costs</w:t>
      </w:r>
    </w:p>
    <w:p w14:paraId="4ED60E9E"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Violations surface as database errors, so the application layer must catch the constraint violation and translate it into E06-S06's user-facing message. That translation must be tested.</w:t>
      </w:r>
    </w:p>
    <w:p w14:paraId="04FB9719"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Partial-index exclusion constraints are unfamiliar syntax and need documenting for the team.</w:t>
      </w:r>
    </w:p>
    <w:p w14:paraId="42E04970" w14:textId="77777777" w:rsidR="00E821FD" w:rsidRPr="002E4176" w:rsidRDefault="00000000">
      <w:pPr>
        <w:pStyle w:val="Heading1"/>
        <w:pageBreakBefore/>
        <w:spacing w:before="240" w:after="140"/>
        <w:rPr>
          <w:rFonts w:ascii="Arial" w:hAnsi="Arial" w:cs="Arial"/>
          <w:color w:val="auto"/>
          <w:sz w:val="22"/>
          <w:szCs w:val="22"/>
        </w:rPr>
      </w:pPr>
      <w:r w:rsidRPr="002E4176">
        <w:rPr>
          <w:rFonts w:ascii="Arial" w:hAnsi="Arial" w:cs="Arial"/>
          <w:color w:val="auto"/>
          <w:sz w:val="22"/>
          <w:szCs w:val="22"/>
        </w:rPr>
        <w:lastRenderedPageBreak/>
        <w:t>ADR-004 — Sessions as a first-class entity — RETIRED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E821FD" w:rsidRPr="002E4176" w14:paraId="4C9E3C3E"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316E1FBC"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Status</w:t>
            </w:r>
          </w:p>
        </w:tc>
        <w:tc>
          <w:tcPr>
            <w:tcW w:w="7860" w:type="dxa"/>
            <w:shd w:val="clear" w:color="auto" w:fill="F7F7F7"/>
            <w:tcMar>
              <w:top w:w="70" w:type="dxa"/>
              <w:left w:w="100" w:type="dxa"/>
              <w:bottom w:w="70" w:type="dxa"/>
              <w:right w:w="100" w:type="dxa"/>
            </w:tcMar>
          </w:tcPr>
          <w:p w14:paraId="68C4452A"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RETIRED — superseded in version 3 by C-62 and T-48</w:t>
            </w:r>
          </w:p>
        </w:tc>
      </w:tr>
      <w:tr w:rsidR="00E821FD" w:rsidRPr="002E4176" w14:paraId="409482CA"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6D79E426"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Related BDR</w:t>
            </w:r>
          </w:p>
        </w:tc>
        <w:tc>
          <w:tcPr>
            <w:tcW w:w="7860" w:type="dxa"/>
            <w:shd w:val="clear" w:color="auto" w:fill="F7F7F7"/>
            <w:tcMar>
              <w:top w:w="70" w:type="dxa"/>
              <w:left w:w="100" w:type="dxa"/>
              <w:bottom w:w="70" w:type="dxa"/>
              <w:right w:w="100" w:type="dxa"/>
            </w:tcMar>
          </w:tcPr>
          <w:p w14:paraId="78326689"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C-19, C-62, T-19, T-21, T-48</w:t>
            </w:r>
          </w:p>
        </w:tc>
      </w:tr>
    </w:tbl>
    <w:p w14:paraId="1C6A6450"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Context</w:t>
      </w:r>
    </w:p>
    <w:p w14:paraId="38971E3D"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Week 1 §4 describes Multi-Session Events, where sessions may fall on the same day or across several days with different timings and operational requirements. Bryan (G1) confirmed per-session operational requirements exist, while noting that automatic session-by-session venue splitting rules have not been discussed.</w:t>
      </w:r>
    </w:p>
    <w:p w14:paraId="186FE773"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Decision</w:t>
      </w:r>
    </w:p>
    <w:p w14:paraId="180EDFBA"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An event comprises one or more sessions. Venue bookings, equipment requests and reservations, technical support requests and attendee registrations all attach to a session. A single-session event is the common case and requires no additional structure from the user.</w:t>
      </w:r>
    </w:p>
    <w:p w14:paraId="0DA997D9"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Alternatives considered</w:t>
      </w:r>
    </w:p>
    <w:p w14:paraId="3E3318EE"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Event-level scheduling with one start and end time. Rejected: it cannot express a three-day conference whose second day needs a different room, different equipment and a different expected attendance.</w:t>
      </w:r>
    </w:p>
    <w:p w14:paraId="495025AC"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A separate sub-event entity with a parent link. Rejected: it duplicates the entire event lifecycle, and confirmation and status would then have to be reconciled between parent and children.</w:t>
      </w:r>
    </w:p>
    <w:p w14:paraId="22C20EB4"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this buys us</w:t>
      </w:r>
    </w:p>
    <w:p w14:paraId="09BAD35B"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Per-session venue and equipment planning follows naturally, and E06-S02 can assess suitability against the event's own attendance.</w:t>
      </w:r>
    </w:p>
    <w:p w14:paraId="5F4AF3DE"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Confirmation becomes a clean rule: the event must be fully arranged (E08-S03).</w:t>
      </w:r>
    </w:p>
    <w:p w14:paraId="597A7320"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it costs</w:t>
      </w:r>
    </w:p>
    <w:p w14:paraId="499F668B"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Every downstream query gains a join through SESSIONS, partly mitigated by ADR-005.</w:t>
      </w:r>
    </w:p>
    <w:p w14:paraId="032DCD20"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Single-session events carry one row of overhead.</w:t>
      </w:r>
    </w:p>
    <w:p w14:paraId="0F22E3F3" w14:textId="77777777" w:rsidR="00E821FD" w:rsidRPr="002E4176" w:rsidRDefault="00000000">
      <w:pPr>
        <w:spacing w:after="60" w:line="276" w:lineRule="auto"/>
        <w:rPr>
          <w:rFonts w:ascii="Arial" w:hAnsi="Arial" w:cs="Arial"/>
          <w:sz w:val="22"/>
          <w:szCs w:val="22"/>
        </w:rPr>
      </w:pPr>
      <w:r w:rsidRPr="002E4176">
        <w:rPr>
          <w:rFonts w:ascii="Arial" w:hAnsi="Arial" w:cs="Arial"/>
          <w:i/>
          <w:iCs/>
          <w:sz w:val="22"/>
          <w:szCs w:val="22"/>
        </w:rPr>
        <w:t>RETIRED in version 3. Bryan (G1), Week 4 (BDR C-62): a multi-session event must be set up as separate events, and the Organiser creates one event per session. The SESSIONS table, its composite keys and every per-session column are removed, and 29 release stories reverted to event level. Multi-session was never among the twenty core features, so the release is now better aligned with them. The reasoning above is retained because the decision was correct on the evidence available when it was taken — C-19 said per-session requirements existed and that splitting rules were undiscussed. It was superseded, not wrong.</w:t>
      </w:r>
    </w:p>
    <w:p w14:paraId="488F91E8" w14:textId="77777777" w:rsidR="00E821FD" w:rsidRPr="002E4176" w:rsidRDefault="00000000">
      <w:pPr>
        <w:pStyle w:val="Heading1"/>
        <w:pageBreakBefore/>
        <w:spacing w:before="240" w:after="140"/>
        <w:rPr>
          <w:rFonts w:ascii="Arial" w:hAnsi="Arial" w:cs="Arial"/>
          <w:color w:val="auto"/>
          <w:sz w:val="22"/>
          <w:szCs w:val="22"/>
        </w:rPr>
      </w:pPr>
      <w:r w:rsidRPr="002E4176">
        <w:rPr>
          <w:rFonts w:ascii="Arial" w:hAnsi="Arial" w:cs="Arial"/>
          <w:color w:val="auto"/>
          <w:sz w:val="22"/>
          <w:szCs w:val="22"/>
        </w:rPr>
        <w:lastRenderedPageBreak/>
        <w:t>ADR-005 — Denormalise event_id, guarded by a composite foreign key — RETIRED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E821FD" w:rsidRPr="002E4176" w14:paraId="55620019"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46DD5DB4"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Status</w:t>
            </w:r>
          </w:p>
        </w:tc>
        <w:tc>
          <w:tcPr>
            <w:tcW w:w="7860" w:type="dxa"/>
            <w:shd w:val="clear" w:color="auto" w:fill="F7F7F7"/>
            <w:tcMar>
              <w:top w:w="70" w:type="dxa"/>
              <w:left w:w="100" w:type="dxa"/>
              <w:bottom w:w="70" w:type="dxa"/>
              <w:right w:w="100" w:type="dxa"/>
            </w:tcMar>
          </w:tcPr>
          <w:p w14:paraId="356095DD"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RETIRED — superseded in version 3 by C-62 and T-48</w:t>
            </w:r>
          </w:p>
        </w:tc>
      </w:tr>
      <w:tr w:rsidR="00E821FD" w:rsidRPr="002E4176" w14:paraId="0C881581"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2BAA9D7E"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Related BDR</w:t>
            </w:r>
          </w:p>
        </w:tc>
        <w:tc>
          <w:tcPr>
            <w:tcW w:w="7860" w:type="dxa"/>
            <w:shd w:val="clear" w:color="auto" w:fill="F7F7F7"/>
            <w:tcMar>
              <w:top w:w="70" w:type="dxa"/>
              <w:left w:w="100" w:type="dxa"/>
              <w:bottom w:w="70" w:type="dxa"/>
              <w:right w:w="100" w:type="dxa"/>
            </w:tcMar>
          </w:tcPr>
          <w:p w14:paraId="4B68BF84"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T-21, C-62, T-48</w:t>
            </w:r>
          </w:p>
        </w:tc>
      </w:tr>
    </w:tbl>
    <w:p w14:paraId="5BADB494"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Context</w:t>
      </w:r>
    </w:p>
    <w:p w14:paraId="31F56CE1"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Following ADR-004, bookings, reservations and registrations belong to a session. But the most frequent queries are event-scoped: listing everything for an event, and the authorisation check that runs on every Organiser request.</w:t>
      </w:r>
    </w:p>
    <w:p w14:paraId="2F5EC8C9"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Decision</w:t>
      </w:r>
    </w:p>
    <w:p w14:paraId="624980B6"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Session-scoped tables carry both session_id and event_id. SESSIONS gains UNIQUE (id, event_id), and the dependent tables reference that pair as a composite foreign key.</w:t>
      </w:r>
    </w:p>
    <w:p w14:paraId="38DBC113"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Alternatives considered</w:t>
      </w:r>
    </w:p>
    <w:p w14:paraId="618AD283"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Strict normalisation, session_id only. Rejected: every event-scoped query needs an extra join, including the authorisation check on the hot path.</w:t>
      </w:r>
    </w:p>
    <w:p w14:paraId="25BAD8EA"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Denormalise without the composite key. Rejected: nothing would prevent a booking pointing at session X and event Y where X does not belong to Y. That is silent data corruption, and it would surface as a confusing authorisation bug long after the write.</w:t>
      </w:r>
    </w:p>
    <w:p w14:paraId="0C203D03"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this buys us</w:t>
      </w:r>
    </w:p>
    <w:p w14:paraId="4BD151D0"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Event-scoped authorisation and listing queries avoid a join.</w:t>
      </w:r>
    </w:p>
    <w:p w14:paraId="383C7B78"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The database makes an inconsistent pair impossible to insert.</w:t>
      </w:r>
    </w:p>
    <w:p w14:paraId="03597B72"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it costs</w:t>
      </w:r>
    </w:p>
    <w:p w14:paraId="1AE17785"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Slightly wider rows and one extra unique index.</w:t>
      </w:r>
    </w:p>
    <w:p w14:paraId="56B2D825"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Developers must populate both columns.</w:t>
      </w:r>
    </w:p>
    <w:p w14:paraId="261AF170" w14:textId="77777777" w:rsidR="00E821FD" w:rsidRPr="002E4176" w:rsidRDefault="00000000">
      <w:pPr>
        <w:spacing w:after="60" w:line="276" w:lineRule="auto"/>
        <w:rPr>
          <w:rFonts w:ascii="Arial" w:hAnsi="Arial" w:cs="Arial"/>
          <w:sz w:val="22"/>
          <w:szCs w:val="22"/>
        </w:rPr>
      </w:pPr>
      <w:r w:rsidRPr="002E4176">
        <w:rPr>
          <w:rFonts w:ascii="Arial" w:hAnsi="Arial" w:cs="Arial"/>
          <w:i/>
          <w:iCs/>
          <w:sz w:val="22"/>
          <w:szCs w:val="22"/>
        </w:rPr>
        <w:t>RETIRED in version 3, as a direct consequence of ADR-004 being retired. With no SESSIONS table there is nothing to denormalise: bookings, reservations, technical support requests and registrations attach to the event directly, and the UNIQUE (id, event_id) constraint on SESSIONS disappears with it. The composite-foreign-key technique remains a good answer to “why did you denormalise?” should the team denormalise anything else.</w:t>
      </w:r>
    </w:p>
    <w:p w14:paraId="72AD2209" w14:textId="77777777" w:rsidR="00E821FD" w:rsidRPr="002E4176" w:rsidRDefault="00000000">
      <w:pPr>
        <w:pStyle w:val="Heading1"/>
        <w:pageBreakBefore/>
        <w:spacing w:before="240" w:after="140"/>
        <w:rPr>
          <w:rFonts w:ascii="Arial" w:hAnsi="Arial" w:cs="Arial"/>
          <w:color w:val="auto"/>
          <w:sz w:val="22"/>
          <w:szCs w:val="22"/>
        </w:rPr>
      </w:pPr>
      <w:r w:rsidRPr="002E4176">
        <w:rPr>
          <w:rFonts w:ascii="Arial" w:hAnsi="Arial" w:cs="Arial"/>
          <w:color w:val="auto"/>
          <w:sz w:val="22"/>
          <w:szCs w:val="22"/>
        </w:rPr>
        <w:lastRenderedPageBreak/>
        <w:t>ADR-006 — Asynchronous notification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E821FD" w:rsidRPr="002E4176" w14:paraId="0F52FC8F"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76FFB6FE"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Status</w:t>
            </w:r>
          </w:p>
        </w:tc>
        <w:tc>
          <w:tcPr>
            <w:tcW w:w="7860" w:type="dxa"/>
            <w:shd w:val="clear" w:color="auto" w:fill="F7F7F7"/>
            <w:tcMar>
              <w:top w:w="70" w:type="dxa"/>
              <w:left w:w="100" w:type="dxa"/>
              <w:bottom w:w="70" w:type="dxa"/>
              <w:right w:w="100" w:type="dxa"/>
            </w:tcMar>
          </w:tcPr>
          <w:p w14:paraId="4B1C14B3"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Accepted</w:t>
            </w:r>
          </w:p>
        </w:tc>
      </w:tr>
      <w:tr w:rsidR="00E821FD" w:rsidRPr="002E4176" w14:paraId="60743FA4"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7DAFB224"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Related BDR</w:t>
            </w:r>
          </w:p>
        </w:tc>
        <w:tc>
          <w:tcPr>
            <w:tcW w:w="7860" w:type="dxa"/>
            <w:shd w:val="clear" w:color="auto" w:fill="F7F7F7"/>
            <w:tcMar>
              <w:top w:w="70" w:type="dxa"/>
              <w:left w:w="100" w:type="dxa"/>
              <w:bottom w:w="70" w:type="dxa"/>
              <w:right w:w="100" w:type="dxa"/>
            </w:tcMar>
          </w:tcPr>
          <w:p w14:paraId="5852181F"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C-04, C-53, T-35, T-36, T-44</w:t>
            </w:r>
          </w:p>
        </w:tc>
      </w:tr>
    </w:tbl>
    <w:p w14:paraId="66BA635F"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Context</w:t>
      </w:r>
    </w:p>
    <w:p w14:paraId="178329D4"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E11-S01 requires notifications delivered both in-app and by email, and Charles (G2) confirmed the channel is the team's choice. Roughly fifteen stories across the release end an acceptance criterion with “and the Coordinator is notified”. §8a requires common operations to complete within a reasonable time.</w:t>
      </w:r>
    </w:p>
    <w:p w14:paraId="1DE8563A"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Decision</w:t>
      </w:r>
    </w:p>
    <w:p w14:paraId="7540A8FD"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The application server writes the domain change and enqueues notification jobs. A separate worker process consumes the queue, writes in-app notification rows and calls the external email provider.</w:t>
      </w:r>
    </w:p>
    <w:p w14:paraId="4C9FDB69"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Alternatives considered</w:t>
      </w:r>
    </w:p>
    <w:p w14:paraId="2BB11B65"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Send email synchronously within the request. Rejected: an SMTP timeout would fail a venue approval that had otherwise succeeded, and every write would carry the email provider's latency.</w:t>
      </w:r>
    </w:p>
    <w:p w14:paraId="4474B9C6"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A database-polling job table instead of Redis. Genuinely viable and one container simpler. Rejected for throughput and because Redis also serves as a cache later. This remains the fallback if operating Redis proves burdensome for the team.</w:t>
      </w:r>
    </w:p>
    <w:p w14:paraId="4D07B0BA"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this buys us</w:t>
      </w:r>
    </w:p>
    <w:p w14:paraId="3B13BA92"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Booking approval latency is independent of email provider availability.</w:t>
      </w:r>
    </w:p>
    <w:p w14:paraId="7EE93532"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Retry and failure handling live in one component rather than scattered across features.</w:t>
      </w:r>
    </w:p>
    <w:p w14:paraId="53AACE47"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it costs</w:t>
      </w:r>
    </w:p>
    <w:p w14:paraId="5AB8513C"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A second deployable process to run, monitor and include in the CI pipeline.</w:t>
      </w:r>
    </w:p>
    <w:p w14:paraId="6C1143A9"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Notifications are eventually consistent. A user may act on a screen before the email arrives.</w:t>
      </w:r>
    </w:p>
    <w:p w14:paraId="6D5D9491"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Care is needed that a job is not enqueued for a transaction that subsequently rolls back.</w:t>
      </w:r>
    </w:p>
    <w:p w14:paraId="3A19675A" w14:textId="77777777" w:rsidR="00E821FD" w:rsidRPr="002E4176" w:rsidRDefault="00000000">
      <w:pPr>
        <w:pStyle w:val="Heading1"/>
        <w:pageBreakBefore/>
        <w:spacing w:before="240" w:after="140"/>
        <w:rPr>
          <w:rFonts w:ascii="Arial" w:hAnsi="Arial" w:cs="Arial"/>
          <w:color w:val="auto"/>
          <w:sz w:val="22"/>
          <w:szCs w:val="22"/>
        </w:rPr>
      </w:pPr>
      <w:r w:rsidRPr="002E4176">
        <w:rPr>
          <w:rFonts w:ascii="Arial" w:hAnsi="Arial" w:cs="Arial"/>
          <w:color w:val="auto"/>
          <w:sz w:val="22"/>
          <w:szCs w:val="22"/>
        </w:rPr>
        <w:lastRenderedPageBreak/>
        <w:t>ADR-007 — One single-page application for all five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E821FD" w:rsidRPr="002E4176" w14:paraId="65EB8837"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7B9EB817"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Status</w:t>
            </w:r>
          </w:p>
        </w:tc>
        <w:tc>
          <w:tcPr>
            <w:tcW w:w="7860" w:type="dxa"/>
            <w:shd w:val="clear" w:color="auto" w:fill="F7F7F7"/>
            <w:tcMar>
              <w:top w:w="70" w:type="dxa"/>
              <w:left w:w="100" w:type="dxa"/>
              <w:bottom w:w="70" w:type="dxa"/>
              <w:right w:w="100" w:type="dxa"/>
            </w:tcMar>
          </w:tcPr>
          <w:p w14:paraId="130946BD"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Accepted</w:t>
            </w:r>
          </w:p>
        </w:tc>
      </w:tr>
      <w:tr w:rsidR="00E821FD" w:rsidRPr="002E4176" w14:paraId="173ECEA1"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17D591BB"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Related BDR</w:t>
            </w:r>
          </w:p>
        </w:tc>
        <w:tc>
          <w:tcPr>
            <w:tcW w:w="7860" w:type="dxa"/>
            <w:shd w:val="clear" w:color="auto" w:fill="F7F7F7"/>
            <w:tcMar>
              <w:top w:w="70" w:type="dxa"/>
              <w:left w:w="100" w:type="dxa"/>
              <w:bottom w:w="70" w:type="dxa"/>
              <w:right w:w="100" w:type="dxa"/>
            </w:tcMar>
          </w:tcPr>
          <w:p w14:paraId="77446E0D"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w:t>
            </w:r>
          </w:p>
        </w:tc>
      </w:tr>
    </w:tbl>
    <w:p w14:paraId="5F89AB29"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Context</w:t>
      </w:r>
    </w:p>
    <w:p w14:paraId="3F783855"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Five roles use the system (§3), split between external and internal users. §7 requires the system to be both desktop- and mobile-friendly. §8c requires all groups to complete their common activities without extensive training.</w:t>
      </w:r>
    </w:p>
    <w:p w14:paraId="0215F910"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Decision</w:t>
      </w:r>
    </w:p>
    <w:p w14:paraId="200088AC"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A single React application with role-based navigation and views, rather than separate external and internal portals.</w:t>
      </w:r>
    </w:p>
    <w:p w14:paraId="4F87E841"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Alternatives considered</w:t>
      </w:r>
    </w:p>
    <w:p w14:paraId="2BE5F82E"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Separate external and internal applications. Rejected: it duplicates authentication, the event record display and the notification interface. An Organiser and a Coordinator look at largely the same event, differing in which fields are editable and which internal details are visible.</w:t>
      </w:r>
    </w:p>
    <w:p w14:paraId="306ECC23"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Server-rendered multi-page application. Rejected: the venue availability calendar and the search-and-filter screens are interaction-heavy enough that a full page load per interaction would work against §8c.</w:t>
      </w:r>
    </w:p>
    <w:p w14:paraId="259A22DF"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this buys us</w:t>
      </w:r>
    </w:p>
    <w:p w14:paraId="25389BC8"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One codebase, one component library, one build and one responsive layout to maintain.</w:t>
      </w:r>
    </w:p>
    <w:p w14:paraId="07BD082C"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Shared event views reduce the risk of the Organiser's and Coordinator's views drifting apart.</w:t>
      </w:r>
    </w:p>
    <w:p w14:paraId="79EF4284"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it costs</w:t>
      </w:r>
    </w:p>
    <w:p w14:paraId="6AD7CD8B"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Role-based hiding in the interface must never be the only access control. The API authorises every request independently, which is why Access Control sits between the router and every domain component.</w:t>
      </w:r>
    </w:p>
    <w:p w14:paraId="73F5369E"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Without route-level code splitting, users download code for roles they cannot use.</w:t>
      </w:r>
    </w:p>
    <w:p w14:paraId="213D459C" w14:textId="77777777" w:rsidR="00E821FD" w:rsidRPr="002E4176" w:rsidRDefault="00000000">
      <w:pPr>
        <w:spacing w:after="60" w:line="276" w:lineRule="auto"/>
        <w:rPr>
          <w:rFonts w:ascii="Arial" w:hAnsi="Arial" w:cs="Arial"/>
          <w:sz w:val="22"/>
          <w:szCs w:val="22"/>
        </w:rPr>
      </w:pPr>
      <w:r w:rsidRPr="002E4176">
        <w:rPr>
          <w:rFonts w:ascii="Arial" w:hAnsi="Arial" w:cs="Arial"/>
          <w:i/>
          <w:iCs/>
          <w:sz w:val="22"/>
          <w:szCs w:val="22"/>
        </w:rPr>
        <w:t>Open item: this record fixes the application topology, not the framework. An earlier draft of the container diagram read “Vue / React”, which reads as an undecided team. The team should record its reason for choosing React — ecosystem familiarity, component library availability, or prior experience — and the diagram must name one framework only.</w:t>
      </w:r>
    </w:p>
    <w:p w14:paraId="46A42F0A" w14:textId="77777777" w:rsidR="00E821FD" w:rsidRPr="002E4176" w:rsidRDefault="00000000">
      <w:pPr>
        <w:pStyle w:val="Heading1"/>
        <w:pageBreakBefore/>
        <w:spacing w:before="240" w:after="140"/>
        <w:rPr>
          <w:rFonts w:ascii="Arial" w:hAnsi="Arial" w:cs="Arial"/>
          <w:color w:val="auto"/>
          <w:sz w:val="22"/>
          <w:szCs w:val="22"/>
        </w:rPr>
      </w:pPr>
      <w:r w:rsidRPr="002E4176">
        <w:rPr>
          <w:rFonts w:ascii="Arial" w:hAnsi="Arial" w:cs="Arial"/>
          <w:color w:val="auto"/>
          <w:sz w:val="22"/>
          <w:szCs w:val="22"/>
        </w:rPr>
        <w:lastRenderedPageBreak/>
        <w:t>ADR-008 — Client organisation as the tenancy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E821FD" w:rsidRPr="002E4176" w14:paraId="0E13001C"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23AD6368"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Status</w:t>
            </w:r>
          </w:p>
        </w:tc>
        <w:tc>
          <w:tcPr>
            <w:tcW w:w="7860" w:type="dxa"/>
            <w:shd w:val="clear" w:color="auto" w:fill="F7F7F7"/>
            <w:tcMar>
              <w:top w:w="70" w:type="dxa"/>
              <w:left w:w="100" w:type="dxa"/>
              <w:bottom w:w="70" w:type="dxa"/>
              <w:right w:w="100" w:type="dxa"/>
            </w:tcMar>
          </w:tcPr>
          <w:p w14:paraId="4DCB5F47"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Accepted</w:t>
            </w:r>
          </w:p>
        </w:tc>
      </w:tr>
      <w:tr w:rsidR="00E821FD" w:rsidRPr="002E4176" w14:paraId="7B7A9D57"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09F7F96F"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Related BDR</w:t>
            </w:r>
          </w:p>
        </w:tc>
        <w:tc>
          <w:tcPr>
            <w:tcW w:w="7860" w:type="dxa"/>
            <w:shd w:val="clear" w:color="auto" w:fill="F7F7F7"/>
            <w:tcMar>
              <w:top w:w="70" w:type="dxa"/>
              <w:left w:w="100" w:type="dxa"/>
              <w:bottom w:w="70" w:type="dxa"/>
              <w:right w:w="100" w:type="dxa"/>
            </w:tcMar>
          </w:tcPr>
          <w:p w14:paraId="0928C0D7"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C-40</w:t>
            </w:r>
          </w:p>
        </w:tc>
      </w:tr>
    </w:tbl>
    <w:p w14:paraId="29F31D60"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Context</w:t>
      </w:r>
    </w:p>
    <w:p w14:paraId="6EBAAEA2"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E01-S02 requires an Event Organiser to see only events belonging to their own client organisation, and §8b states an Organiser should not normally be able to view events belonging to unrelated clients. Week 1 §4 Client Management notes that several Organisers may belong to one organisation. Ewen (G1) confirmed Event Coordinators can see all events, so the restriction applies to Organisers rather than internal staff.</w:t>
      </w:r>
    </w:p>
    <w:p w14:paraId="0ACA76FD"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Decision</w:t>
      </w:r>
    </w:p>
    <w:p w14:paraId="14437E63"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CLIENT_ORGANISATIONS is a first-class table. USERS and EVENTS both reference it. The Access Control component scopes every Organiser-facing query by client_org_id.</w:t>
      </w:r>
    </w:p>
    <w:p w14:paraId="7C545176"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Alternatives considered</w:t>
      </w:r>
    </w:p>
    <w:p w14:paraId="49C6103B"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A free-text organisation name on the user record, as in the original draft. Rejected: two Organisers spelling the name differently land in two tenancies, and a name collision grants access across clients. This is a security property, not a data-tidiness one.</w:t>
      </w:r>
    </w:p>
    <w:p w14:paraId="4E6984B8"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Schema- or database-per-tenant multi-tenancy. Rejected as far beyond the requirement. ConnectSphere owns all the data, and internal staff need visibility across clients.</w:t>
      </w:r>
    </w:p>
    <w:p w14:paraId="41156627"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this buys us</w:t>
      </w:r>
    </w:p>
    <w:p w14:paraId="6CFCC1CE"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Isolation is enforced by a foreign key and a scoped query, both of which are directly testable.</w:t>
      </w:r>
    </w:p>
    <w:p w14:paraId="37A3DB4C"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E01-S02's “a colleague from my organisation created an event” scenario works without special handling.</w:t>
      </w:r>
    </w:p>
    <w:p w14:paraId="2420B5F9"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it costs</w:t>
      </w:r>
    </w:p>
    <w:p w14:paraId="15F1D040"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Every Organiser-facing query must apply the scope, and a single missed one is a data leak. This is why the scoping lives in Access Control rather than being re-implemented per feature.</w:t>
      </w:r>
    </w:p>
    <w:p w14:paraId="78CEE2F7" w14:textId="77777777" w:rsidR="00E821FD" w:rsidRPr="002E4176" w:rsidRDefault="00000000">
      <w:pPr>
        <w:pStyle w:val="Heading1"/>
        <w:pageBreakBefore/>
        <w:spacing w:before="240" w:after="140"/>
        <w:rPr>
          <w:rFonts w:ascii="Arial" w:hAnsi="Arial" w:cs="Arial"/>
          <w:color w:val="auto"/>
          <w:sz w:val="22"/>
          <w:szCs w:val="22"/>
        </w:rPr>
      </w:pPr>
      <w:r w:rsidRPr="002E4176">
        <w:rPr>
          <w:rFonts w:ascii="Arial" w:hAnsi="Arial" w:cs="Arial"/>
          <w:color w:val="auto"/>
          <w:sz w:val="22"/>
          <w:szCs w:val="22"/>
        </w:rPr>
        <w:lastRenderedPageBreak/>
        <w:t>ADR-009 — A single audit log with a polymorphic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E821FD" w:rsidRPr="002E4176" w14:paraId="3731478A"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33E61504"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Status</w:t>
            </w:r>
          </w:p>
        </w:tc>
        <w:tc>
          <w:tcPr>
            <w:tcW w:w="7860" w:type="dxa"/>
            <w:shd w:val="clear" w:color="auto" w:fill="F7F7F7"/>
            <w:tcMar>
              <w:top w:w="70" w:type="dxa"/>
              <w:left w:w="100" w:type="dxa"/>
              <w:bottom w:w="70" w:type="dxa"/>
              <w:right w:w="100" w:type="dxa"/>
            </w:tcMar>
          </w:tcPr>
          <w:p w14:paraId="1CC11AE3"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Accepted</w:t>
            </w:r>
          </w:p>
        </w:tc>
      </w:tr>
      <w:tr w:rsidR="00E821FD" w:rsidRPr="002E4176" w14:paraId="474A1566"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78924123"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Related BDR</w:t>
            </w:r>
          </w:p>
        </w:tc>
        <w:tc>
          <w:tcPr>
            <w:tcW w:w="7860" w:type="dxa"/>
            <w:shd w:val="clear" w:color="auto" w:fill="F7F7F7"/>
            <w:tcMar>
              <w:top w:w="70" w:type="dxa"/>
              <w:left w:w="100" w:type="dxa"/>
              <w:bottom w:w="70" w:type="dxa"/>
              <w:right w:w="100" w:type="dxa"/>
            </w:tcMar>
          </w:tcPr>
          <w:p w14:paraId="1DD9CAE9"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T-04</w:t>
            </w:r>
          </w:p>
        </w:tc>
      </w:tr>
    </w:tbl>
    <w:p w14:paraId="0023D236"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Context</w:t>
      </w:r>
    </w:p>
    <w:p w14:paraId="79440129"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E14-S02 records event status changes, denied access attempts, venue booking decisions and account deactivations. §8f requires ConnectSphere to determine what was changed, who changed it and when. Only the first of those four is always tied to an event.</w:t>
      </w:r>
    </w:p>
    <w:p w14:paraId="40ED6DCB"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Decision</w:t>
      </w:r>
    </w:p>
    <w:p w14:paraId="6F99DC2F"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One append-only AUDIT_LOGS table with entity_type, entity_id, and a nullable event_id carried denormalised for convenience.</w:t>
      </w:r>
    </w:p>
    <w:p w14:paraId="7CA0F64D"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Alternatives considered</w:t>
      </w:r>
    </w:p>
    <w:p w14:paraId="4615D24C"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One table per log type. Rejected: §8f's single question would become a four-way UNION, and the immutability rule in E14-S02 would need enforcing in four places.</w:t>
      </w:r>
    </w:p>
    <w:p w14:paraId="4E317DDB"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Logging only event-related actions. Rejected: denied access attempts and account deactivations are exactly the events an audit trail exists to capture.</w:t>
      </w:r>
    </w:p>
    <w:p w14:paraId="5BB62900"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this buys us</w:t>
      </w:r>
    </w:p>
    <w:p w14:paraId="764FDB29"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One query answers §8f, and one place to revoke UPDATE and DELETE.</w:t>
      </w:r>
    </w:p>
    <w:p w14:paraId="70979EE4"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event_id is denormalised so E03-S05's status history needs no polymorphic join.</w:t>
      </w:r>
    </w:p>
    <w:p w14:paraId="03B7795B"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it costs</w:t>
      </w:r>
    </w:p>
    <w:p w14:paraId="30B75A85"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No foreign key on entity_id, so referential integrity there is by convention. An orphaned entry is possible if a row is ever hard-deleted, which is one reason ADR-012's deactivate-don't-delete approach matters.</w:t>
      </w:r>
    </w:p>
    <w:p w14:paraId="05187E95"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Mixed payloads mean field_changed, old_value and new_value are null for action types that do not change a field.</w:t>
      </w:r>
    </w:p>
    <w:p w14:paraId="17BCBA93" w14:textId="77777777" w:rsidR="00E821FD" w:rsidRPr="002E4176" w:rsidRDefault="00000000">
      <w:pPr>
        <w:pStyle w:val="Heading1"/>
        <w:pageBreakBefore/>
        <w:spacing w:before="240" w:after="140"/>
        <w:rPr>
          <w:rFonts w:ascii="Arial" w:hAnsi="Arial" w:cs="Arial"/>
          <w:color w:val="auto"/>
          <w:sz w:val="22"/>
          <w:szCs w:val="22"/>
        </w:rPr>
      </w:pPr>
      <w:r w:rsidRPr="002E4176">
        <w:rPr>
          <w:rFonts w:ascii="Arial" w:hAnsi="Arial" w:cs="Arial"/>
          <w:color w:val="auto"/>
          <w:sz w:val="22"/>
          <w:szCs w:val="22"/>
        </w:rPr>
        <w:lastRenderedPageBreak/>
        <w:t>ADR-010 — Separate equipment request from equipment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E821FD" w:rsidRPr="002E4176" w14:paraId="4287C420"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3E4E65D4"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Status</w:t>
            </w:r>
          </w:p>
        </w:tc>
        <w:tc>
          <w:tcPr>
            <w:tcW w:w="7860" w:type="dxa"/>
            <w:shd w:val="clear" w:color="auto" w:fill="F7F7F7"/>
            <w:tcMar>
              <w:top w:w="70" w:type="dxa"/>
              <w:left w:w="100" w:type="dxa"/>
              <w:bottom w:w="70" w:type="dxa"/>
              <w:right w:w="100" w:type="dxa"/>
            </w:tcMar>
          </w:tcPr>
          <w:p w14:paraId="60A55A58"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Accepted</w:t>
            </w:r>
          </w:p>
        </w:tc>
      </w:tr>
      <w:tr w:rsidR="00E821FD" w:rsidRPr="002E4176" w14:paraId="1B416527"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6D7BD783"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Related BDR</w:t>
            </w:r>
          </w:p>
        </w:tc>
        <w:tc>
          <w:tcPr>
            <w:tcW w:w="7860" w:type="dxa"/>
            <w:shd w:val="clear" w:color="auto" w:fill="F7F7F7"/>
            <w:tcMar>
              <w:top w:w="70" w:type="dxa"/>
              <w:left w:w="100" w:type="dxa"/>
              <w:bottom w:w="70" w:type="dxa"/>
              <w:right w:w="100" w:type="dxa"/>
            </w:tcMar>
          </w:tcPr>
          <w:p w14:paraId="4307BF44"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C-21, C-13, C-39, T-24, T-25</w:t>
            </w:r>
          </w:p>
        </w:tc>
      </w:tr>
    </w:tbl>
    <w:p w14:paraId="36D24DA7"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Context</w:t>
      </w:r>
    </w:p>
    <w:p w14:paraId="3CF9DA42"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E07-S02 has the Event Coordinator record what equipment an event needs. E07-S04 has Technical Support Staff reserve it, possibly only partially, notifying the Coordinator of any shortfall. Bryan (G1) confirmed technical requirements must be completed and reserved before an event can be confirmed.</w:t>
      </w:r>
    </w:p>
    <w:p w14:paraId="5836E09B"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Decision</w:t>
      </w:r>
    </w:p>
    <w:p w14:paraId="4C5370DA"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EQUIPMENT_REQUESTS and EQUIPMENT_RESERVATIONS as separate tables, with each reservation referencing the request it partially or fully fulfils.</w:t>
      </w:r>
    </w:p>
    <w:p w14:paraId="381D2D2B"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Alternatives considered</w:t>
      </w:r>
    </w:p>
    <w:p w14:paraId="525A9985"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One table with quantity_requested and quantity_reserved. Rejected: it conflates two acts performed by two different roles at two different times, so the row's meaning depends on who last wrote it. It also cannot represent a request fulfilled across several reservation events as stock becomes available.</w:t>
      </w:r>
    </w:p>
    <w:p w14:paraId="78C0676B"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this buys us</w:t>
      </w:r>
    </w:p>
    <w:p w14:paraId="084C677D"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E08-S03's confirmation gate reduces to comparing reserved against requested for the event.</w:t>
      </w:r>
    </w:p>
    <w:p w14:paraId="762AE45F"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Partial fulfilment across multiple reservations is representable, which matches E07-S04 Scenario 2.</w:t>
      </w:r>
    </w:p>
    <w:p w14:paraId="66881907"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The original request survives even if a reservation is later released, preserving the planning history.</w:t>
      </w:r>
    </w:p>
    <w:p w14:paraId="0E351FF3"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it costs</w:t>
      </w:r>
    </w:p>
    <w:p w14:paraId="2717712A"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Two tables to keep in step. Releasing a reservation must not delete the underlying request.</w:t>
      </w:r>
    </w:p>
    <w:p w14:paraId="495D2176" w14:textId="77777777" w:rsidR="00E821FD" w:rsidRPr="002E4176" w:rsidRDefault="00000000">
      <w:pPr>
        <w:pStyle w:val="Heading1"/>
        <w:pageBreakBefore/>
        <w:spacing w:before="240" w:after="140"/>
        <w:rPr>
          <w:rFonts w:ascii="Arial" w:hAnsi="Arial" w:cs="Arial"/>
          <w:color w:val="auto"/>
          <w:sz w:val="22"/>
          <w:szCs w:val="22"/>
        </w:rPr>
      </w:pPr>
      <w:r w:rsidRPr="002E4176">
        <w:rPr>
          <w:rFonts w:ascii="Arial" w:hAnsi="Arial" w:cs="Arial"/>
          <w:color w:val="auto"/>
          <w:sz w:val="22"/>
          <w:szCs w:val="22"/>
        </w:rPr>
        <w:lastRenderedPageBreak/>
        <w:t>ADR-011 — Controlled vocabularies for accessibility and facilities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E821FD" w:rsidRPr="002E4176" w14:paraId="2E903113"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14D99778"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Status</w:t>
            </w:r>
          </w:p>
        </w:tc>
        <w:tc>
          <w:tcPr>
            <w:tcW w:w="7860" w:type="dxa"/>
            <w:shd w:val="clear" w:color="auto" w:fill="F7F7F7"/>
            <w:tcMar>
              <w:top w:w="70" w:type="dxa"/>
              <w:left w:w="100" w:type="dxa"/>
              <w:bottom w:w="70" w:type="dxa"/>
              <w:right w:w="100" w:type="dxa"/>
            </w:tcMar>
          </w:tcPr>
          <w:p w14:paraId="7A9483C6"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Accepted</w:t>
            </w:r>
          </w:p>
        </w:tc>
      </w:tr>
      <w:tr w:rsidR="00E821FD" w:rsidRPr="002E4176" w14:paraId="222C6E55"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6CB78057"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Related BDR</w:t>
            </w:r>
          </w:p>
        </w:tc>
        <w:tc>
          <w:tcPr>
            <w:tcW w:w="7860" w:type="dxa"/>
            <w:shd w:val="clear" w:color="auto" w:fill="F7F7F7"/>
            <w:tcMar>
              <w:top w:w="70" w:type="dxa"/>
              <w:left w:w="100" w:type="dxa"/>
              <w:bottom w:w="70" w:type="dxa"/>
              <w:right w:w="100" w:type="dxa"/>
            </w:tcMar>
          </w:tcPr>
          <w:p w14:paraId="56C36CA9"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C-32, T-13, T-45, B-06, B-07</w:t>
            </w:r>
          </w:p>
        </w:tc>
      </w:tr>
    </w:tbl>
    <w:p w14:paraId="1D916BAD"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Context</w:t>
      </w:r>
    </w:p>
    <w:p w14:paraId="6EDC998C"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E02-S03 records an event's accessibility requirements, E05-S01 records a venue's accessibility features and facilities, and E06-S02 must compare them and name every failing requirement. Free text on either side makes reliable comparison impossible.</w:t>
      </w:r>
    </w:p>
    <w:p w14:paraId="1FFB7790"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Decision</w:t>
      </w:r>
    </w:p>
    <w:p w14:paraId="0D2691C7"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Lookup tables ACCESSIBILITY_FEATURES and FACILITIES, referenced many-to-many from both venues and events. A free-text note field on EVENTS captures anything outside the vocabulary; it is shown to the Coordinator and explicitly excluded from automated matching.</w:t>
      </w:r>
    </w:p>
    <w:p w14:paraId="1BB33731"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Alternatives considered</w:t>
      </w:r>
    </w:p>
    <w:p w14:paraId="4559199C"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Boolean columns such as is_accessible, as in the original draft. Rejected: a boolean cannot express a list, and every new feature would be a schema migration.</w:t>
      </w:r>
    </w:p>
    <w:p w14:paraId="0638421A"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JSON arrays of strings. Rejected: no referential integrity, so a typo silently fails to match and no one notices.</w:t>
      </w:r>
    </w:p>
    <w:p w14:paraId="374C9D69"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Free text with fuzzy matching. Rejected: E06-S02 must name each failing requirement precisely, which needs exact identity.</w:t>
      </w:r>
    </w:p>
    <w:p w14:paraId="113FA74E"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this buys us</w:t>
      </w:r>
    </w:p>
    <w:p w14:paraId="52020CDD"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Matching is a join, and E06-S02 can list exactly which requirements a venue fails.</w:t>
      </w:r>
    </w:p>
    <w:p w14:paraId="33B45699"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New features are data rather than schema changes.</w:t>
      </w:r>
    </w:p>
    <w:p w14:paraId="286AFD08"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it costs</w:t>
      </w:r>
    </w:p>
    <w:p w14:paraId="2B79E064"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The vocabulary must be seeded. Bryan (G1) confirmed no System Admin role is in scope, so it is seeded by migration rather than managed through a UI in release 1.</w:t>
      </w:r>
    </w:p>
    <w:p w14:paraId="7DA236EA"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The free-text escape hatch is deliberately not matched, and the interface must make clear to users that it is advisory only.</w:t>
      </w:r>
    </w:p>
    <w:p w14:paraId="5321A000" w14:textId="77777777" w:rsidR="00E821FD" w:rsidRPr="002E4176" w:rsidRDefault="00000000">
      <w:pPr>
        <w:pStyle w:val="Heading1"/>
        <w:pageBreakBefore/>
        <w:spacing w:before="240" w:after="140"/>
        <w:rPr>
          <w:rFonts w:ascii="Arial" w:hAnsi="Arial" w:cs="Arial"/>
          <w:color w:val="auto"/>
          <w:sz w:val="22"/>
          <w:szCs w:val="22"/>
        </w:rPr>
      </w:pPr>
      <w:r w:rsidRPr="002E4176">
        <w:rPr>
          <w:rFonts w:ascii="Arial" w:hAnsi="Arial" w:cs="Arial"/>
          <w:color w:val="auto"/>
          <w:sz w:val="22"/>
          <w:szCs w:val="22"/>
        </w:rPr>
        <w:lastRenderedPageBreak/>
        <w:t>ADR-012 — One role per account in release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E821FD" w:rsidRPr="002E4176" w14:paraId="1AB63E7F"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4C03F68B"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Status</w:t>
            </w:r>
          </w:p>
        </w:tc>
        <w:tc>
          <w:tcPr>
            <w:tcW w:w="7860" w:type="dxa"/>
            <w:shd w:val="clear" w:color="auto" w:fill="F7F7F7"/>
            <w:tcMar>
              <w:top w:w="70" w:type="dxa"/>
              <w:left w:w="100" w:type="dxa"/>
              <w:bottom w:w="70" w:type="dxa"/>
              <w:right w:w="100" w:type="dxa"/>
            </w:tcMar>
          </w:tcPr>
          <w:p w14:paraId="4F160478"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Accepted</w:t>
            </w:r>
          </w:p>
        </w:tc>
      </w:tr>
      <w:tr w:rsidR="00E821FD" w:rsidRPr="002E4176" w14:paraId="1E12A52B"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5C884BE0"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Related BDR</w:t>
            </w:r>
          </w:p>
        </w:tc>
        <w:tc>
          <w:tcPr>
            <w:tcW w:w="7860" w:type="dxa"/>
            <w:shd w:val="clear" w:color="auto" w:fill="F7F7F7"/>
            <w:tcMar>
              <w:top w:w="70" w:type="dxa"/>
              <w:left w:w="100" w:type="dxa"/>
              <w:bottom w:w="70" w:type="dxa"/>
              <w:right w:w="100" w:type="dxa"/>
            </w:tcMar>
          </w:tcPr>
          <w:p w14:paraId="73D3C3FD"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C-33, T-10</w:t>
            </w:r>
          </w:p>
        </w:tc>
      </w:tr>
    </w:tbl>
    <w:p w14:paraId="4C571798"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Context</w:t>
      </w:r>
    </w:p>
    <w:p w14:paraId="44310C2B"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Hsu (G2) confirmed that users act in distinct roles with strict access separation, but that a user may hold different roles depending on organisation structure. E01-S09 covers role switching and is deliberately out of release 1.</w:t>
      </w:r>
    </w:p>
    <w:p w14:paraId="28ACA151"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Decision</w:t>
      </w:r>
    </w:p>
    <w:p w14:paraId="01B57626"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USERS.role holds a single value. Multi-role support is deferred and the story is retained in the product backlog as future scope.</w:t>
      </w:r>
    </w:p>
    <w:p w14:paraId="29823B7D"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Alternatives considered</w:t>
      </w:r>
    </w:p>
    <w:p w14:paraId="04310049"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A USER_ROLES join table now. Rejected for release 1 scope, though it is the migration target.</w:t>
      </w:r>
    </w:p>
    <w:p w14:paraId="66E49AC7"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Duplicate accounts, one per role. Rejected: it breaks the single identity E01-S02 depends on and fragments the audit trail across two actors who are the same person.</w:t>
      </w:r>
    </w:p>
    <w:p w14:paraId="6B12AF37"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this buys us</w:t>
      </w:r>
    </w:p>
    <w:p w14:paraId="46D8B289"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Authorisation checks stay simple, with one role to evaluate per request.</w:t>
      </w:r>
    </w:p>
    <w:p w14:paraId="02461ECB"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it costs</w:t>
      </w:r>
    </w:p>
    <w:p w14:paraId="5718103C"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Migrating to multi-role later means introducing a join table and revisiting every authorisation check. This is accepted technical debt, recorded here because the customer has already signalled the requirement exists.</w:t>
      </w:r>
    </w:p>
    <w:p w14:paraId="5133BA5F"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In the interim, a staff member who genuinely holds two roles needs two accounts, which weakens the audit trail. This is the direct cost of the deferral and should be raised with the customer if it occurs in practice.</w:t>
      </w:r>
    </w:p>
    <w:p w14:paraId="4881A08F" w14:textId="77777777" w:rsidR="00E821FD" w:rsidRPr="002E4176" w:rsidRDefault="00000000">
      <w:pPr>
        <w:pStyle w:val="Heading1"/>
        <w:pageBreakBefore/>
        <w:spacing w:before="240" w:after="140"/>
        <w:rPr>
          <w:rFonts w:ascii="Arial" w:hAnsi="Arial" w:cs="Arial"/>
          <w:color w:val="auto"/>
          <w:sz w:val="22"/>
          <w:szCs w:val="22"/>
        </w:rPr>
      </w:pPr>
      <w:r w:rsidRPr="002E4176">
        <w:rPr>
          <w:rFonts w:ascii="Arial" w:hAnsi="Arial" w:cs="Arial"/>
          <w:color w:val="auto"/>
          <w:sz w:val="22"/>
          <w:szCs w:val="22"/>
        </w:rPr>
        <w:lastRenderedPageBreak/>
        <w:t>ADR-013 — Separate the backlog data from the reasoning behind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E821FD" w:rsidRPr="002E4176" w14:paraId="2F694046"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2FF963D1"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Status</w:t>
            </w:r>
          </w:p>
        </w:tc>
        <w:tc>
          <w:tcPr>
            <w:tcW w:w="7860" w:type="dxa"/>
            <w:shd w:val="clear" w:color="auto" w:fill="F7F7F7"/>
            <w:tcMar>
              <w:top w:w="70" w:type="dxa"/>
              <w:left w:w="100" w:type="dxa"/>
              <w:bottom w:w="70" w:type="dxa"/>
              <w:right w:w="100" w:type="dxa"/>
            </w:tcMar>
          </w:tcPr>
          <w:p w14:paraId="0D7728EA"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Accepted</w:t>
            </w:r>
          </w:p>
        </w:tc>
      </w:tr>
      <w:tr w:rsidR="00E821FD" w:rsidRPr="002E4176" w14:paraId="4799891F" w14:textId="77777777">
        <w:tblPrEx>
          <w:tblCellMar>
            <w:top w:w="0" w:type="dxa"/>
            <w:bottom w:w="0" w:type="dxa"/>
          </w:tblCellMar>
        </w:tblPrEx>
        <w:tc>
          <w:tcPr>
            <w:tcW w:w="1500" w:type="dxa"/>
            <w:shd w:val="clear" w:color="auto" w:fill="F7F7F7"/>
            <w:tcMar>
              <w:top w:w="70" w:type="dxa"/>
              <w:left w:w="100" w:type="dxa"/>
              <w:bottom w:w="70" w:type="dxa"/>
              <w:right w:w="100" w:type="dxa"/>
            </w:tcMar>
          </w:tcPr>
          <w:p w14:paraId="73D377CC" w14:textId="77777777" w:rsidR="00E821FD" w:rsidRPr="002E4176" w:rsidRDefault="00000000">
            <w:pPr>
              <w:spacing w:line="276" w:lineRule="auto"/>
              <w:rPr>
                <w:rFonts w:ascii="Arial" w:hAnsi="Arial" w:cs="Arial"/>
                <w:sz w:val="22"/>
                <w:szCs w:val="22"/>
              </w:rPr>
            </w:pPr>
            <w:r w:rsidRPr="002E4176">
              <w:rPr>
                <w:rFonts w:ascii="Arial" w:hAnsi="Arial" w:cs="Arial"/>
                <w:b/>
                <w:bCs/>
                <w:sz w:val="22"/>
                <w:szCs w:val="22"/>
              </w:rPr>
              <w:t>Related BDR</w:t>
            </w:r>
          </w:p>
        </w:tc>
        <w:tc>
          <w:tcPr>
            <w:tcW w:w="7860" w:type="dxa"/>
            <w:shd w:val="clear" w:color="auto" w:fill="F7F7F7"/>
            <w:tcMar>
              <w:top w:w="70" w:type="dxa"/>
              <w:left w:w="100" w:type="dxa"/>
              <w:bottom w:w="70" w:type="dxa"/>
              <w:right w:w="100" w:type="dxa"/>
            </w:tcMar>
          </w:tcPr>
          <w:p w14:paraId="12A7BA0F" w14:textId="77777777" w:rsidR="00E821FD" w:rsidRPr="002E4176" w:rsidRDefault="00000000">
            <w:pPr>
              <w:spacing w:line="276" w:lineRule="auto"/>
              <w:rPr>
                <w:rFonts w:ascii="Arial" w:hAnsi="Arial" w:cs="Arial"/>
                <w:sz w:val="22"/>
                <w:szCs w:val="22"/>
              </w:rPr>
            </w:pPr>
            <w:r w:rsidRPr="002E4176">
              <w:rPr>
                <w:rFonts w:ascii="Arial" w:hAnsi="Arial" w:cs="Arial"/>
                <w:sz w:val="22"/>
                <w:szCs w:val="22"/>
              </w:rPr>
              <w:t>Entire BDR</w:t>
            </w:r>
          </w:p>
        </w:tc>
      </w:tr>
    </w:tbl>
    <w:p w14:paraId="682E4286"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Context</w:t>
      </w:r>
    </w:p>
    <w:p w14:paraId="51BB0DD5"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Version 1 and 2 of the backlog carried scope notes, status models, customer quotations, team assumptions and change history inside the same Word tables as the stories. The tables became difficult to scan, and the same decision appeared in several story notes with slightly different wording, so no single place could be trusted as authoritative.</w:t>
      </w:r>
    </w:p>
    <w:p w14:paraId="100E8796"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Decision</w:t>
      </w:r>
    </w:p>
    <w:p w14:paraId="18744BDA" w14:textId="77777777" w:rsidR="00E821FD" w:rsidRPr="002E4176" w:rsidRDefault="00000000">
      <w:pPr>
        <w:spacing w:after="120" w:line="276" w:lineRule="auto"/>
        <w:rPr>
          <w:rFonts w:ascii="Arial" w:hAnsi="Arial" w:cs="Arial"/>
          <w:sz w:val="22"/>
          <w:szCs w:val="22"/>
        </w:rPr>
      </w:pPr>
      <w:r w:rsidRPr="002E4176">
        <w:rPr>
          <w:rFonts w:ascii="Arial" w:hAnsi="Arial" w:cs="Arial"/>
          <w:sz w:val="22"/>
          <w:szCs w:val="22"/>
        </w:rPr>
        <w:t>Three documents with distinct jobs. CONNECTSPHERE_BACKLOGS.xlsx holds story data only, with a BDR Ref column on every row. The Backlog Decision Review holds every customer clarification, team decision, open assumption and boundary ruling, each with a stable reference code. This Architecture Decision Record set holds decisions about how the system is built rather than what it does.</w:t>
      </w:r>
    </w:p>
    <w:p w14:paraId="408EB32D"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Alternatives considered</w:t>
      </w:r>
    </w:p>
    <w:p w14:paraId="3D7C9C0A"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Keep everything in the backlog documents. Rejected: it produced the duplication described above, and the customer supplies clarifications as a spreadsheet, so a spreadsheet-native backlog matches how the team already receives information.</w:t>
      </w:r>
    </w:p>
    <w:p w14:paraId="707B0B8A"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One combined document. Rejected: architecture decisions and backlog decisions have different audiences and change at very different rates.</w:t>
      </w:r>
    </w:p>
    <w:p w14:paraId="3B769A27"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this buys us</w:t>
      </w:r>
    </w:p>
    <w:p w14:paraId="5004AF19"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A story's reasoning has exactly one home, referenced rather than repeated.</w:t>
      </w:r>
    </w:p>
    <w:p w14:paraId="5EBE1F42"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Customer clarifications keep the numbering of the customer's own file, so any entry can be checked against the source.</w:t>
      </w:r>
    </w:p>
    <w:p w14:paraId="3EC20443" w14:textId="77777777" w:rsidR="00E821FD" w:rsidRPr="002E4176" w:rsidRDefault="00000000">
      <w:pPr>
        <w:pStyle w:val="ListParagraph"/>
        <w:numPr>
          <w:ilvl w:val="0"/>
          <w:numId w:val="2"/>
        </w:numPr>
        <w:spacing w:after="60" w:line="276" w:lineRule="auto"/>
        <w:rPr>
          <w:rFonts w:ascii="Arial" w:hAnsi="Arial" w:cs="Arial"/>
          <w:sz w:val="22"/>
          <w:szCs w:val="22"/>
        </w:rPr>
      </w:pPr>
      <w:r w:rsidRPr="002E4176">
        <w:rPr>
          <w:rFonts w:ascii="Arial" w:hAnsi="Arial" w:cs="Arial"/>
          <w:sz w:val="22"/>
          <w:szCs w:val="22"/>
        </w:rPr>
        <w:t>A team assumption is visibly distinguishable from a customer requirement, which is the distinction the Week 13 Q&amp;A probes.</w:t>
      </w:r>
    </w:p>
    <w:p w14:paraId="342A5DA6" w14:textId="77777777" w:rsidR="00E821FD" w:rsidRPr="002E4176" w:rsidRDefault="00000000">
      <w:pPr>
        <w:pStyle w:val="Heading3"/>
        <w:spacing w:before="180" w:after="80"/>
        <w:rPr>
          <w:rFonts w:ascii="Arial" w:hAnsi="Arial" w:cs="Arial"/>
          <w:color w:val="auto"/>
          <w:sz w:val="22"/>
          <w:szCs w:val="22"/>
        </w:rPr>
      </w:pPr>
      <w:r w:rsidRPr="002E4176">
        <w:rPr>
          <w:rFonts w:ascii="Arial" w:hAnsi="Arial" w:cs="Arial"/>
          <w:color w:val="auto"/>
          <w:sz w:val="22"/>
          <w:szCs w:val="22"/>
        </w:rPr>
        <w:t>What it costs</w:t>
      </w:r>
    </w:p>
    <w:p w14:paraId="585784F1"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Three documents must be kept in step. A story merged or retired in the workbook leaves a dangling reference in the BDR unless both are updated together.</w:t>
      </w:r>
    </w:p>
    <w:p w14:paraId="3093F103" w14:textId="77777777" w:rsidR="00E821FD" w:rsidRPr="002E4176" w:rsidRDefault="00000000">
      <w:pPr>
        <w:pStyle w:val="ListParagraph"/>
        <w:numPr>
          <w:ilvl w:val="0"/>
          <w:numId w:val="3"/>
        </w:numPr>
        <w:spacing w:after="60" w:line="276" w:lineRule="auto"/>
        <w:rPr>
          <w:rFonts w:ascii="Arial" w:hAnsi="Arial" w:cs="Arial"/>
          <w:sz w:val="22"/>
          <w:szCs w:val="22"/>
        </w:rPr>
      </w:pPr>
      <w:r w:rsidRPr="002E4176">
        <w:rPr>
          <w:rFonts w:ascii="Arial" w:hAnsi="Arial" w:cs="Arial"/>
          <w:sz w:val="22"/>
          <w:szCs w:val="22"/>
        </w:rPr>
        <w:t>A reader wanting the full picture of one story must open two files.</w:t>
      </w:r>
    </w:p>
    <w:sectPr w:rsidR="00E821FD" w:rsidRPr="002E4176">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F6481"/>
    <w:multiLevelType w:val="hybridMultilevel"/>
    <w:tmpl w:val="075468B8"/>
    <w:lvl w:ilvl="0" w:tplc="F93C20CE">
      <w:start w:val="1"/>
      <w:numFmt w:val="bullet"/>
      <w:lvlText w:val="–"/>
      <w:lvlJc w:val="left"/>
      <w:pPr>
        <w:ind w:left="260" w:hanging="180"/>
      </w:pPr>
    </w:lvl>
    <w:lvl w:ilvl="1" w:tplc="ECDC38F6">
      <w:numFmt w:val="decimal"/>
      <w:lvlText w:val=""/>
      <w:lvlJc w:val="left"/>
    </w:lvl>
    <w:lvl w:ilvl="2" w:tplc="B17A14C8">
      <w:numFmt w:val="decimal"/>
      <w:lvlText w:val=""/>
      <w:lvlJc w:val="left"/>
    </w:lvl>
    <w:lvl w:ilvl="3" w:tplc="B18CDC44">
      <w:numFmt w:val="decimal"/>
      <w:lvlText w:val=""/>
      <w:lvlJc w:val="left"/>
    </w:lvl>
    <w:lvl w:ilvl="4" w:tplc="9926E986">
      <w:numFmt w:val="decimal"/>
      <w:lvlText w:val=""/>
      <w:lvlJc w:val="left"/>
    </w:lvl>
    <w:lvl w:ilvl="5" w:tplc="541E534C">
      <w:numFmt w:val="decimal"/>
      <w:lvlText w:val=""/>
      <w:lvlJc w:val="left"/>
    </w:lvl>
    <w:lvl w:ilvl="6" w:tplc="1BECA4DE">
      <w:numFmt w:val="decimal"/>
      <w:lvlText w:val=""/>
      <w:lvlJc w:val="left"/>
    </w:lvl>
    <w:lvl w:ilvl="7" w:tplc="48D46B86">
      <w:numFmt w:val="decimal"/>
      <w:lvlText w:val=""/>
      <w:lvlJc w:val="left"/>
    </w:lvl>
    <w:lvl w:ilvl="8" w:tplc="8E4215F4">
      <w:numFmt w:val="decimal"/>
      <w:lvlText w:val=""/>
      <w:lvlJc w:val="left"/>
    </w:lvl>
  </w:abstractNum>
  <w:abstractNum w:abstractNumId="1" w15:restartNumberingAfterBreak="0">
    <w:nsid w:val="59834C39"/>
    <w:multiLevelType w:val="hybridMultilevel"/>
    <w:tmpl w:val="751ACD76"/>
    <w:lvl w:ilvl="0" w:tplc="B2EA33DE">
      <w:start w:val="1"/>
      <w:numFmt w:val="bullet"/>
      <w:lvlText w:val="●"/>
      <w:lvlJc w:val="left"/>
      <w:pPr>
        <w:ind w:left="720" w:hanging="360"/>
      </w:pPr>
    </w:lvl>
    <w:lvl w:ilvl="1" w:tplc="57360A1E">
      <w:start w:val="1"/>
      <w:numFmt w:val="bullet"/>
      <w:lvlText w:val="○"/>
      <w:lvlJc w:val="left"/>
      <w:pPr>
        <w:ind w:left="1440" w:hanging="360"/>
      </w:pPr>
    </w:lvl>
    <w:lvl w:ilvl="2" w:tplc="8C9A6B3E">
      <w:start w:val="1"/>
      <w:numFmt w:val="bullet"/>
      <w:lvlText w:val="■"/>
      <w:lvlJc w:val="left"/>
      <w:pPr>
        <w:ind w:left="2160" w:hanging="360"/>
      </w:pPr>
    </w:lvl>
    <w:lvl w:ilvl="3" w:tplc="BFB2A0C2">
      <w:start w:val="1"/>
      <w:numFmt w:val="bullet"/>
      <w:lvlText w:val="●"/>
      <w:lvlJc w:val="left"/>
      <w:pPr>
        <w:ind w:left="2880" w:hanging="360"/>
      </w:pPr>
    </w:lvl>
    <w:lvl w:ilvl="4" w:tplc="B568CD7A">
      <w:start w:val="1"/>
      <w:numFmt w:val="bullet"/>
      <w:lvlText w:val="○"/>
      <w:lvlJc w:val="left"/>
      <w:pPr>
        <w:ind w:left="3600" w:hanging="360"/>
      </w:pPr>
    </w:lvl>
    <w:lvl w:ilvl="5" w:tplc="6854DB16">
      <w:start w:val="1"/>
      <w:numFmt w:val="bullet"/>
      <w:lvlText w:val="■"/>
      <w:lvlJc w:val="left"/>
      <w:pPr>
        <w:ind w:left="4320" w:hanging="360"/>
      </w:pPr>
    </w:lvl>
    <w:lvl w:ilvl="6" w:tplc="7FD0BFAE">
      <w:start w:val="1"/>
      <w:numFmt w:val="bullet"/>
      <w:lvlText w:val="●"/>
      <w:lvlJc w:val="left"/>
      <w:pPr>
        <w:ind w:left="5040" w:hanging="360"/>
      </w:pPr>
    </w:lvl>
    <w:lvl w:ilvl="7" w:tplc="3106F94C">
      <w:start w:val="1"/>
      <w:numFmt w:val="bullet"/>
      <w:lvlText w:val="●"/>
      <w:lvlJc w:val="left"/>
      <w:pPr>
        <w:ind w:left="5760" w:hanging="360"/>
      </w:pPr>
    </w:lvl>
    <w:lvl w:ilvl="8" w:tplc="668ECC9C">
      <w:start w:val="1"/>
      <w:numFmt w:val="bullet"/>
      <w:lvlText w:val="●"/>
      <w:lvlJc w:val="left"/>
      <w:pPr>
        <w:ind w:left="6480" w:hanging="360"/>
      </w:pPr>
    </w:lvl>
  </w:abstractNum>
  <w:abstractNum w:abstractNumId="2" w15:restartNumberingAfterBreak="0">
    <w:nsid w:val="5BDA7F2D"/>
    <w:multiLevelType w:val="hybridMultilevel"/>
    <w:tmpl w:val="55BA51DA"/>
    <w:lvl w:ilvl="0" w:tplc="98F0A5E8">
      <w:start w:val="1"/>
      <w:numFmt w:val="bullet"/>
      <w:lvlText w:val="•"/>
      <w:lvlJc w:val="left"/>
      <w:pPr>
        <w:ind w:left="260" w:hanging="180"/>
      </w:pPr>
    </w:lvl>
    <w:lvl w:ilvl="1" w:tplc="680ABF0A">
      <w:numFmt w:val="decimal"/>
      <w:lvlText w:val=""/>
      <w:lvlJc w:val="left"/>
    </w:lvl>
    <w:lvl w:ilvl="2" w:tplc="8EAE21A6">
      <w:numFmt w:val="decimal"/>
      <w:lvlText w:val=""/>
      <w:lvlJc w:val="left"/>
    </w:lvl>
    <w:lvl w:ilvl="3" w:tplc="5802BF5C">
      <w:numFmt w:val="decimal"/>
      <w:lvlText w:val=""/>
      <w:lvlJc w:val="left"/>
    </w:lvl>
    <w:lvl w:ilvl="4" w:tplc="ADCC1368">
      <w:numFmt w:val="decimal"/>
      <w:lvlText w:val=""/>
      <w:lvlJc w:val="left"/>
    </w:lvl>
    <w:lvl w:ilvl="5" w:tplc="E8E40AB0">
      <w:numFmt w:val="decimal"/>
      <w:lvlText w:val=""/>
      <w:lvlJc w:val="left"/>
    </w:lvl>
    <w:lvl w:ilvl="6" w:tplc="83747ED0">
      <w:numFmt w:val="decimal"/>
      <w:lvlText w:val=""/>
      <w:lvlJc w:val="left"/>
    </w:lvl>
    <w:lvl w:ilvl="7" w:tplc="6446367C">
      <w:numFmt w:val="decimal"/>
      <w:lvlText w:val=""/>
      <w:lvlJc w:val="left"/>
    </w:lvl>
    <w:lvl w:ilvl="8" w:tplc="B88A06A6">
      <w:numFmt w:val="decimal"/>
      <w:lvlText w:val=""/>
      <w:lvlJc w:val="left"/>
    </w:lvl>
  </w:abstractNum>
  <w:num w:numId="1" w16cid:durableId="1006254074">
    <w:abstractNumId w:val="1"/>
    <w:lvlOverride w:ilvl="0">
      <w:startOverride w:val="1"/>
    </w:lvlOverride>
  </w:num>
  <w:num w:numId="2" w16cid:durableId="1557156490">
    <w:abstractNumId w:val="2"/>
    <w:lvlOverride w:ilvl="0">
      <w:startOverride w:val="1"/>
    </w:lvlOverride>
  </w:num>
  <w:num w:numId="3" w16cid:durableId="20061987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1FD"/>
    <w:rsid w:val="002E4176"/>
    <w:rsid w:val="005D3040"/>
    <w:rsid w:val="00E821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E9099"/>
  <w15:docId w15:val="{F525F062-BE70-402D-943B-C68E18065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3526</Words>
  <Characters>20103</Characters>
  <Application>Microsoft Office Word</Application>
  <DocSecurity>0</DocSecurity>
  <Lines>167</Lines>
  <Paragraphs>47</Paragraphs>
  <ScaleCrop>false</ScaleCrop>
  <Company/>
  <LinksUpToDate>false</LinksUpToDate>
  <CharactersWithSpaces>23582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cp:lastModifiedBy>
  <cp:revision>3</cp:revision>
  <dcterms:created xsi:type="dcterms:W3CDTF">2026-09-11T09:15:00Z</dcterms:created>
  <dcterms:modified xsi:type="dcterms:W3CDTF">2026-09-12T04:49:00Z</dcterms:modified>
</cp:coreProperties>
</file>