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Concern #1 (comparison with covariance management, Fisher-information input design, active system identification, and dual control; add a comparison table)</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Concern #2 (Eqs. (8)–(12) treat d as constant, while the EKF models it as a random walk; extend the derivation or quantify the approximation error against window length, disturbance bandwidth, and q_d)</w:t>
      </w:r>
    </w:p>
    <w:p>
      <w:pPr>
        <w:spacing w:after="120"/>
      </w:pPr>
      <w:r>
        <w:rPr>
          <w:b/>
        </w:rPr>
        <w:t xml:space="preserve">Author response: </w:t>
      </w:r>
      <w:r>
        <w:rPr/>
        <w:t xml:space="preserve">Correct. Under the random-walk model the exact marginal information on the inverse mass is a weighted Schur complement, \sigma_{\mathrm{eff}}/r_s = t^{\top}\Sigma^{-1}t - t^{\top}\Sigma^{-1}M\,(M^{\top}\Sigma^{-1}M)^{-1}M^{\top}\Sigma^{-1}t with \Sigma = r_s I + q_d\, C \otimes I_3, [C]_{kl} = \min(k,l) - 1, which reduces to \sigma/r_s for q_d \to 0. Evaluated on logged flight data (new Fig. 14(b)): for the implemented q_d = 10^{-2} the information in a 1-s window is 12% of the constant-force value, and the ratio falls with the window length (0.25–4 s) and with q_d (0–0.1). Consequences: (i) Proposition 2 is an optimistic bound for the implemented filter; scaled by this ratio it is of the scale of the empirical across-run spread of the mass under excitation (Fig. 14(a)). (ii) for the disturbance profiles (steps, sinusoid) and the q_d range evaluated, the gate decision is unaffected: it thresholds the dimensionless \tilde\sigma with margin, and at hover \sigma_{\mathrm{eff}} stays at the noise floor for every q_d tested. 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Concern #3 (\sigma is the dispersion of the thrust vectors, not of the direction; the normalization removes information relevant to the Cramér–Rao bound; separate the classification signal from the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Concern #4 (one normalized threshold is shown to work only in the reported environment; provide a sensitivity study over window, dwell, process noise, measurement noise, and maneuver intensity; relate the threshold to an allowable mass variance through the Cramér–Rao bound)</w:t>
      </w:r>
    </w:p>
    <w:p>
      <w:pPr>
        <w:spacing w:after="120"/>
      </w:pPr>
      <w:r>
        <w:rPr>
          <w:b/>
        </w:rPr>
        <w:t xml:space="preserve">Author response: </w:t>
      </w:r>
      <w:r>
        <w:rPr/>
        <w:t xml:space="preserve">Both done. Threshold vs. bound: near hover \sum_k T_k^2 \approx N(mg)^2, so for a window that just opens the gate the Cramér–Rao bound reads \mathrm{std}(\hat m)/m \gtrsim (1/g)\sqrt{r_s/(\tilde\sigma_{\min} N)} (new Eq. (16)):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 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so the margin narrows.</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item 5a (references to remove)</w:t>
      </w:r>
    </w:p>
    <w:p>
      <w:pPr>
        <w:spacing w:after="120"/>
      </w:pPr>
      <w:r>
        <w:rPr/>
        <w:t xml:space="preserve">none were indicated. We re-checked the list and removed none; we will act on any specific indication.</w:t>
      </w:r>
    </w:p>
    <w:p>
      <w:pPr>
        <w:pStyle w:val="Heading1"/>
        <w:spacing w:after="120"/>
      </w:pPr>
      <w:r>
        <w:rPr>
          <w:b/>
        </w:rPr>
        <w:t xml:space="preserve">Reviewer #2</w:t>
      </w:r>
    </w:p>
    <w:p>
      <w:pPr>
        <w:shd w:val="clear" w:color="auto" w:fill="E7E6E6"/>
        <w:spacing w:after="120"/>
      </w:pPr>
      <w:r>
        <w:rPr>
          <w:b/>
        </w:rPr>
        <w:t xml:space="preserve">Reviewer#2, Concern #1 (validity of the EKF with respect to the level of nonlinearity; scenarios such as rapid motion or rotated frames where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Key point (the paper addresses identifiability, not observability; replace the term, including in the title; see Boyacioglu et al. 2023 for observability of mass in this kind of system)</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points</w:t>
      </w:r>
    </w:p>
    <w:p>
      <w:pPr>
        <w:spacing w:after="120"/>
      </w:pPr>
      <w:r>
        <w:rPr>
          <w:b/>
        </w:rPr>
        <w:t xml:space="preserve">Author response and action: </w:t>
      </w:r>
      <w:r>
        <w:rPr/>
        <w:t xml:space="preserve"/>
      </w:r>
    </w:p>
    <w:p>
      <w:pPr>
        <w:ind w:left="540" w:hanging="270"/>
        <w:spacing w:after="80"/>
      </w:pPr>
      <w:r>
        <w:t xml:space="preserve">•  "Mass is not a force" (p. 1): reworded in the abstract, the Introduction, and Section II: a mass error, which enters the reading through the thrust-to-weight ratio, is what is indistinguishable from a vertical force; Section II now says "the weight of an added mass".</w:t>
      </w:r>
    </w:p>
    <w:p>
      <w:pPr>
        <w:ind w:left="540" w:hanging="270"/>
        <w:spacing w:after="80"/>
      </w:pPr>
      <w:r>
        <w:t xml:space="preserve">•  Eq. (12) as a Proposition: done; it is now Proposition 2 (Cramér–Rao bound on the mass) with its proof.</w:t>
      </w:r>
    </w:p>
    <w:p>
      <w:pPr>
        <w:ind w:left="540" w:hanging="270"/>
        <w:spacing w:after="80"/>
      </w:pPr>
      <w:r>
        <w:t xml:space="preserve">•  Smoothing (p. 6): a paragraph in Section V explains it. The filter's q_d is set for the bandwidth of the force reading, so its output keeps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ind w:left="540" w:hanging="270"/>
        <w:spacing w:after="80"/>
      </w:pPr>
      <w:r>
        <w:t xml:space="preserve">•  Optimal excitation for identifiability in flight systems (Section V-B): [Morelli 2022] is now cited there, together with [Mehra 1974], as the input-design problem we do not solve in continuous form.</w:t>
      </w:r>
    </w:p>
    <w:p>
      <w:pPr>
        <w:ind w:left="540" w:hanging="270"/>
        <w:spacing w:after="80"/>
      </w:pPr>
      <w:r>
        <w:t xml:space="preserve">•  Fig. 8: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b/>
        </w:rPr>
        <w:t xml:space="preserve">Author action: </w:t>
      </w:r>
      <w:r>
        <w:rPr/>
        <w:t xml:space="preserve">"Fig." at the start of a sentence changed to "Figure" (11 instances);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 4 regenerated at double-column width and Fig. 13 as a single-column stack, both with fonts at caption size; the per-panel headers of Fig. 4 were reduced to the axis labels (x), (y), (z), with the fitted slopes given in the text.</w:t>
      </w:r>
    </w:p>
    <w:p>
      <w:pPr>
        <w:pStyle w:val="Heading1"/>
        <w:spacing w:after="120"/>
      </w:pPr>
      <w:r>
        <w:rPr>
          <w:b/>
        </w:rPr>
        <w:t xml:space="preserve">Reviewer #5</w:t>
      </w:r>
    </w:p>
    <w:p>
      <w:pPr>
        <w:shd w:val="clear" w:color="auto" w:fill="E7E6E6"/>
        <w:spacing w:after="120"/>
      </w:pPr>
      <w:r>
        <w:rPr>
          <w:b/>
        </w:rPr>
        <w:t xml:space="preserve">Reviewer#5, Concern #1 (Contribution 1 reads like an external-disturbance estimation method; what is the fundamental difference from an ESO or an unknown-disturbance observer?)</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Concern #2 (how is unidentifiability quantitatively defined; what criterion decides it?)</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Concern #3 (the model of Eq. (1) contains several physical parameters; how is the accuracy of their calibration guaranteed?)</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Concern #4 (Eq. (12) is said to give a boundedness property of the inverse mass, emphasized as a contribution, but it is not experimentally validated)</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Concern #5 (what does "probe" refer to; a physical sensor?)</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Concern #6 (does the objective of Eq. (16), now Eq. (20), need normalization, since terms of different magnitude may dominate?)</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stating this.</w:t>
      </w:r>
    </w:p>
    <w:p>
      <w:pPr>
        <w:shd w:val="clear" w:color="auto" w:fill="E7E6E6"/>
        <w:spacing w:after="120"/>
      </w:pPr>
      <w:r>
        <w:rPr>
          <w:b/>
        </w:rPr>
        <w:t xml:space="preserve">Reviewer#5, Concern #7 (the optimization objective is given but not the final controller expression)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Concern #8 (with all parameters known, would the difference between the energy delivered and the kinetic energy received not directly give the disturbance; what is the conceptual difference from virtual force sensing?)</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p>
      <w:pPr>
        <w:shd w:val="clear" w:color="auto" w:fill="E7E6E6"/>
        <w:spacing w:after="120"/>
      </w:pPr>
      <w:r>
        <w:rPr>
          <w:b/>
        </w:rPr>
        <w:t xml:space="preserve">Reviewer#5, item 5a (references to remove)</w:t>
      </w:r>
    </w:p>
    <w:p>
      <w:pPr>
        <w:spacing w:after="120"/>
      </w:pPr>
      <w:r>
        <w:rPr/>
        <w:t xml:space="preserve">none were indicated; we removed none and will act on any specific indication.</w:t>
      </w:r>
    </w:p>
    <w:p>
      <w:pPr>
        <w:pStyle w:val="Heading1"/>
        <w:spacing w:after="120"/>
      </w:pPr>
      <w:r>
        <w:rPr>
          <w:b/>
        </w:rPr>
        <w:t xml:space="preserve">Reviewer #4</w:t>
      </w:r>
    </w:p>
    <w:p>
      <w:pPr>
        <w:shd w:val="clear" w:color="auto" w:fill="E7E6E6"/>
        <w:spacing w:after="120"/>
      </w:pPr>
      <w:r>
        <w:rPr>
          <w:b/>
        </w:rPr>
        <w:t xml:space="preserve">Reviewer#4, Concern #1 (report the compute platform for the "&lt;1 ms per step at 100 Hz" claim, and say so if it is not flight-representative)</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Concern #2 (why the injected-error ranges of Section VII-H, 0.4 m/s^2 bias and 10% scale/thrust,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Concern #3 (clarify the degradation of the d_z correlation with speed in Table 3 (now Table 4))</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moved next to it.</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