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 \sigma_{\mathrm{eff}}/r_s = t^{\top}\Sigma^{-1}t - t^{\top}\Sigma^{-1}M\,(M^{\top}\Sigma^{-1}M)^{-1}M^{\top}\Sigma^{-1}t with \Sigma = r_s I + q_d\, C \otimes I_3, [C]_{kl} = \min(k,l) - 1, which reduces to \sigma/r_s for q_d \to 0. Evaluated on logged flight data (new Fig. 14(b)): for the implemented q_d = 10^{-2} the information in a 1-s window is 12% of the constant-force value, and the ratio falls with the window length (0.25–4 s) and with q_d (0–0.1). Consequences: (i) Proposition 2 is an optimistic bound for the implemented filter; scaled by this ratio it is of the scale of the empirical across-run spread of the mass under excitation (Fig. 14(a)). (ii) for the disturbance profiles (steps, sinusoid) and the q_d range evaluated, the gate decision is unaffected: it thresholds the dimensionless \tilde\sigma with margin, and at hover \sigma_{\mathrm{eff}} stays at the noise floor for every q_d tested. 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 Threshold vs. bound: near hover \sum_k T_k^2 \approx N(mg)^2, so for a window that just opens the gate the Cramér–Rao bound reads \mathrm{std}(\hat m)/m \gtrsim (1/g)\sqrt{r_s/(\tilde\sigma_{\min} N)} (new Eq. (16)):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 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so the margin narrows.</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"Fig." at the start of a sentence changed to "Figure" (11 instances);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carry only the panel label, with the fitted slopes in the legend, caption, and text.</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