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 \sigma_{\mathrm{eff}}/r_s = t^{\top}\Sigma^{-1}t - t^{\top}\Sigma^{-1}M\,(M^{\top}\Sigma^{-1}M)^{-1}M^{\top}\Sigma^{-1}t with \Sigma = r_s I + q_d\, C \otimes I_3, [C]_{kl} = \min(k,l) - 1, which reduces to \sigma/r_s for q_d \to 0. Evaluated on logged flight data (new Fig. 14(b)): for the implemented q_d = 10^{-2} the information in a 1-s window is 12% of the constant-force value, and the ratio falls with the window length (0.25–4 s) and with q_d (0–0.1). Consequences: (i) Proposition 2 is an optimistic bound for the implemented filter; scaled by this ratio it is of the scale of the empirical across-run spread of the mass under excitation (Fig. 14(a)). (ii) for the disturbance profiles (steps, sinusoid) and the q_d range evaluated, the gate decision is unaffected: it thresholds the dimensionless \tilde\sigma with margin, and at hover \sigma_{\mathrm{eff}} stays at the noise floor for every q_d tested. 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 Threshold vs. bound: near hover \sum_k T_k^2 \approx N(mg)^2, so for a window that just opens the gate the Cramér–Rao bound reads \mathrm{std}(\hat m)/m \gtrsim (1/g)\sqrt{r_s/(\tilde\sigma_{\min} N)} (new Eq. (16)):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 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(1.9–2.9%), so the margin narrows; at 0.3 m/s^2 the two are statistically indistinguishable (2.5\pm1.1 against 1.9\pm0.9).</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No sentence now begins with a figure citation: the affected sentences were rephrased so the reference falls mid-sentence, where the IEEE Editorial Style Manual prescribes the abbreviated "Fig."; this satisfies the request without deviating from the house style;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carry only the panel label, with the fitted slopes in the legend, caption, and text.</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