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交付依据与阶段复核报告</w:t>
      </w:r>
    </w:p>
    <w:p>
      <w:pPr>
        <w:pStyle w:val="Subtitle"/>
      </w:pPr>
      <w:r>
        <w:t>专业交付形式、公开研究、阶段成熟度与验证边界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CF-DOC-REVIEW-01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交付形式与使用方法</w:t>
      </w:r>
    </w:p>
    <w:p>
      <w:r>
        <w:t>02   公开研究与可用证据</w:t>
      </w:r>
    </w:p>
    <w:p>
      <w:r>
        <w:t>03   当前阶段复核</w:t>
      </w:r>
    </w:p>
    <w:p>
      <w:r>
        <w:t>04   剩余批准与执行事项</w:t>
      </w:r>
    </w:p>
    <w:p>
      <w:r>
        <w:br w:type="page"/>
      </w:r>
    </w:p>
    <w:p>
      <w:pPr>
        <w:pStyle w:val="Heading1"/>
      </w:pPr>
      <w:r>
        <w:t>交付形式与使用方法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交付物性质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原生格式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受控规格与报告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DOCX + PDF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可编辑评审、版本控制、固定阅读副本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规则／需求／任务／测试台账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XLSX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真实数据、筛选、追踪、状态与执行记录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评审简报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PPTX + PDF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跨角色评审范围、风险与待决定事项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交互及架构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HTML + SVG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可点击的设计原型、可编辑矢量图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机器契约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OpenAPI JSON / JSON Schema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联调、数据结构验证与工具集成</w:t>
            </w:r>
          </w:p>
        </w:tc>
      </w:tr>
    </w:tbl>
    <w:p>
      <w:r>
        <w:t>大公司并无适用于所有项目的统一Word模板。公开工程资料也经常使用Markdown；本交付按用户的阅读、部门协作与评审需要提供原生Office和PDF，保留JSON技术契约。文档深度、可追溯性和真实批准记录比扩展名更重要。</w:t>
      </w:r>
    </w:p>
    <w:p>
      <w:pPr>
        <w:pStyle w:val="Heading1"/>
      </w:pPr>
      <w:r>
        <w:t>公开研究与可用证据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读取范围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本次采用的原则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OpenAPI官方规范3.1.0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已读取公开规范文本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接口可被人和工具理解，支持生成文档、测试及客户端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JSON Schema官方仓库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README说明与版本入口；主分支为后续草案工作区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使用稳定2020-12声明与本机验证器，区分结构和业务约束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Microsoft Xbox GDK Samples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公开README的样例、媒体、环境和版本布局迁移说明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单独管理环境／资源／实现与兼容变更，不冒充内部流程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Microsoft PlayFab仓库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取得的README仅为行为准则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不将其当作游戏生命周期或测试规范依据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W3C WCAG官方仓库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README的标准内容组织与维护说明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预留可访问性验收；没有据此宣称当前合规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NASA／ISO／部分Learn页面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站点访问受限，未取得内容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不引用未读取条款，不宣称标准符合性</w:t>
            </w:r>
          </w:p>
        </w:tc>
      </w:tr>
    </w:tbl>
    <w:p>
      <w:r>
        <w:t>完整访问日期、URL、失败结果与短摘要位于公开研究来源.json；工作簿中的来源台账可筛选。参考公开标准不等于取得企业内部模板，也不等于项目已经认证。</w:t>
      </w:r>
    </w:p>
    <w:p>
      <w:pPr>
        <w:pStyle w:val="Heading1"/>
      </w:pPr>
      <w:r>
        <w:t>当前阶段复核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当前事实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仍需完成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范围与规则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历史用户目标与当前实现可定位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版次、冲突处理、批准范围与责任人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UX／技术契约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几何、截图及本次结构化规格已建立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逐页批准截图、OpenAPI／Schema业务评审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实施与质量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已有代码、353单测与27浏览器记录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真实入口、兼容、容量、安全及人工验证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发布与验收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已有阶段包、版本与SHA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实际部署／回退演练、用户签收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维护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已有版本和修复记录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实际角色任命、响应目标和持续回归</w:t>
            </w:r>
          </w:p>
        </w:tc>
      </w:tr>
    </w:tbl>
    <w:p>
      <w:r>
        <w:t>本次文档复核执行文件结构、可编辑数据、契约样例、PDF输出与本地阅读入口检查。游戏原有27套浏览器报告是历史证据，本次不把它们重标为今日重跑；最终验证结果以复核结果.json为准。</w:t>
      </w:r>
    </w:p>
    <w:p>
      <w:pPr>
        <w:pStyle w:val="Heading1"/>
      </w:pPr>
      <w:r>
        <w:t>剩余批准与执行事项</w:t>
      </w:r>
    </w:p>
    <w:p>
      <w:r>
        <w:t>需求与规则评审：关闭或明确豁免DEC-01至DEC-05。实际入口：按MAN-01至MAN-04记录操作系统、浏览器、缩放及候选包SHA。技术质量：确定性能／容量／安全／可访问性目标，再执行相应测试。</w:t>
      </w:r>
    </w:p>
    <w:p>
      <w:r>
        <w:t>最终签收：产品、规则审阅者、QA与实际用户需要分别留下结论；所有批准栏当前保持未签署。本次交付补足工作依据，不能替代缺失的原版资料和实测结果。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CF-DOC-REVIEW-01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交付依据与阶段复核报告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