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CASHFLOW · WEB GAME</w:t>
      </w:r>
    </w:p>
    <w:p>
      <w:pPr>
        <w:pStyle w:val="Title"/>
      </w:pPr>
      <w:r>
        <w:t>项目章程与治理基线</w:t>
      </w:r>
    </w:p>
    <w:p>
      <w:pPr>
        <w:pStyle w:val="Subtitle"/>
      </w:pPr>
      <w:r>
        <w:t>范围、角色、阶段门禁与风险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4933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受控项</w:t>
            </w:r>
          </w:p>
        </w:tc>
        <w:tc>
          <w:tcPr>
            <w:tcW w:type="dxa" w:w="4933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当前值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文档编号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CF-CHARTER-01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实现基线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v0.6.4 / 236a3933ecef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编制与复核日期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2026-10-27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文档性质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基于现有实现补建的评审稿；不是已批准的大公司内部模板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批准状态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产品／技术／QA／用户角色待指定并签署；未补造历史批准</w:t>
            </w:r>
          </w:p>
        </w:tc>
      </w:tr>
    </w:tbl>
    <w:p>
      <w:pPr>
        <w:pStyle w:val="Heading1"/>
      </w:pPr>
      <w:r>
        <w:t>阅读说明</w:t>
      </w:r>
    </w:p>
    <w:p>
      <w:r>
        <w:t>蓝色章节对应开发依据；表格中的“已有证据”限定到列出的版本和测试范围。待评审、待实测和未决差异不得作为发布通过结论。数字、来源与代码路径均按当前仓库复核。</w:t>
      </w:r>
    </w:p>
    <w:p>
      <w:pPr>
        <w:pStyle w:val="Heading1"/>
      </w:pPr>
      <w:r>
        <w:t>本文件目录</w:t>
      </w:r>
    </w:p>
    <w:p>
      <w:r>
        <w:t>01   项目目标与交付边界</w:t>
      </w:r>
    </w:p>
    <w:p>
      <w:r>
        <w:t>02   阶段门禁与职责</w:t>
      </w:r>
    </w:p>
    <w:p>
      <w:r>
        <w:t>03   治理与风险</w:t>
      </w:r>
    </w:p>
    <w:p>
      <w:r>
        <w:t>04   公开研究与适配</w:t>
      </w:r>
    </w:p>
    <w:p>
      <w:r>
        <w:br w:type="page"/>
      </w:r>
    </w:p>
    <w:p>
      <w:pPr>
        <w:pStyle w:val="Heading1"/>
      </w:pPr>
      <w:r>
        <w:t>项目目标与交付边界</w:t>
      </w:r>
    </w:p>
    <w:p>
      <w:r>
        <w:t>目标是中文经典现金流网页游戏：完整包index可本机运行，Node服务支持不同浏览器联机。用户关注规则、原版交互与显示、解压试玩和回归质量。当前不承诺账号排行、分布式房间、大规模匹配或全部原版全等。</w:t>
      </w:r>
    </w:p>
    <w:p>
      <w:r>
        <w:t>实现基线为v0.6.4；当前文档通过源码与已有报告补建，不追溯伪造过去的评审。官网在线版、实体101与中文参考站需要分别建立版本来源。</w:t>
      </w:r>
    </w:p>
    <w:p>
      <w:pPr>
        <w:pStyle w:val="Heading1"/>
      </w:pPr>
      <w:r>
        <w:t>阶段门禁与职责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  <w:cantSplit/>
        </w:trPr>
        <w:tc>
          <w:tcPr>
            <w:tcW w:type="dxa" w:w="2466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466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核心交付</w:t>
            </w:r>
          </w:p>
        </w:tc>
        <w:tc>
          <w:tcPr>
            <w:tcW w:type="dxa" w:w="2466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通过标准</w:t>
            </w:r>
          </w:p>
        </w:tc>
        <w:tc>
          <w:tcPr>
            <w:tcW w:type="dxa" w:w="2466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责任角色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01 立项与治理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项目章程、RACI、风险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范围与责任明确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产品／技术负责人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02 需求与规则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PRD、GDD、数据与决策工作簿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规则、来源和通过条件可执行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产品／策划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03 交互与视觉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UI规格、流程原型、素材表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关键状态、异常和长文案有依据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UX／UI／前端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04 技术契约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架构、OpenAPI、JSON Schema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客户端／服务端／存档边界一致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技术负责人／前后端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05 实施与协作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WBS、追踪、交接与变更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任务有输入、依赖、完成定义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制作人／研发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06 测试与质量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用例、环境矩阵、缺陷及报告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阻断缺陷关闭，证据范围明确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QA／研发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07 发布与运维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构建、配置、备份、回退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解压包与受测文件一致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发布／运维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08 用户验收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UAT、签收记录、遗留项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指定包、环境、责任人明确结论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产品／规则审阅／用户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09 维护与变更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问题、决策、回归与归档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修复可追溯，旧流程不破坏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产品／研发／QA</w:t>
            </w:r>
          </w:p>
        </w:tc>
      </w:tr>
    </w:tbl>
    <w:p>
      <w:r>
        <w:t>G0范围确认→G1规则与页面基线→G2技术契约→G3纵向切片→G4功能回归→G5候选包验证→G6用户验收。未取得批准的门禁不因为存在代码而自动通过。</w:t>
      </w:r>
    </w:p>
    <w:p>
      <w:pPr>
        <w:pStyle w:val="Heading1"/>
      </w:pPr>
      <w:r>
        <w:t>治理与风险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  <w:cantSplit/>
        </w:trPr>
        <w:tc>
          <w:tcPr>
            <w:tcW w:type="dxa" w:w="2466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466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2466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风险描述</w:t>
            </w:r>
          </w:p>
        </w:tc>
        <w:tc>
          <w:tcPr>
            <w:tcW w:type="dxa" w:w="2466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当前处理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RSK-01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高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规则冲突未决导致验收标准漂移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先确认比较基准，差异持续列账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RSK-02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高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HTTP测试不能替代用户file入口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指定设备实测完整包，不假造通过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RSK-03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高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版本回退未演练可能读不回数据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备份、样本迁移矩阵、回退演练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RSK-04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中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异步刷新与长中文导致覆盖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连续开关、最大金额、DPR场景回归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RSK-05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中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文件存储不提供分布式事务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限制已验证部署范围，扩展前设计共享存储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RSK-06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高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公开可下载不等于已取得商业使用授权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发布前核对素材、商标与文案授权依据</w:t>
            </w:r>
          </w:p>
        </w:tc>
      </w:tr>
    </w:tbl>
    <w:p>
      <w:r>
        <w:t>负责角色可以由同一人兼任，规则确认、实现与最终签收仍需分开记录。实际任命、预算和排期没有已确认资料，工作簿保留待指定，不填写虚构人员或日期。</w:t>
      </w:r>
    </w:p>
    <w:p>
      <w:pPr>
        <w:pStyle w:val="Heading1"/>
      </w:pPr>
      <w:r>
        <w:t>公开研究与适配</w:t>
      </w:r>
    </w:p>
    <w:p>
      <w:r>
        <w:t>OpenAPI的官方规范支持将接口变成可生成文档、客户端和测试的结构化契约；JSON Schema官方仓库说明其用途是数据验证与注释。本交付将二者用于实际房间API和游戏快照，而非只提供文字描述。</w:t>
      </w:r>
    </w:p>
    <w:p>
      <w:r>
        <w:t>Microsoft Xbox GDK Samples公开资料按工具、媒体、样例、环境与版本迁移组织信息；本项目采用相同的“环境基线、实现资料、兼容变更”分离原则。该资料同时使用Markdown，说明文件扩展名并不决定专业性；本次按用户评审需要提供Office和PDF。</w:t>
      </w:r>
    </w:p>
    <w:p>
      <w:r>
        <w:t>W3C仓库提供可访问性内容组织参考。当前未完成WCAG审计，不标记合规。NASA及ISO等部分站点访问失败，未取得的内容不作为已学习的条款或企业内部模板依据。</w:t>
      </w:r>
    </w:p>
    <w:p>
      <w:pPr>
        <w:pStyle w:val="Heading1"/>
      </w:pPr>
      <w:r>
        <w:t>评审与变更控制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应复核内容</w:t>
            </w:r>
          </w:p>
        </w:tc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当前状态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产品／策划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范围、规则冲突和验收口径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待指定，未签署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设计／研发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页面、契约、实现与技术边界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需按文档问题单评审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QA／用户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证据可复现性及实际交付包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自动化证据与用户签收分开</w:t>
            </w:r>
          </w:p>
        </w:tc>
      </w:tr>
    </w:tbl>
    <w:p>
      <w:r>
        <w:t>变更登记：文档版本1.0；本次建立原生Office交付与结构化契约。后续应记录需求／决策ID、受影响文件、修订内容、评审结论及关联构建；批准栏不得由生成工具自动填写。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CJK SC" w:hAnsi="Noto Sans CJK SC" w:eastAsia="Noto Sans CJK SC"/>
        <w:b w:val="0"/>
        <w:color w:val="64748B"/>
        <w:sz w:val="16"/>
      </w:rPr>
      <w:t xml:space="preserve">v0.6.4  /  待评审基线  /  2026-10-27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 w:val="0"/>
        <w:color w:val="64748B"/>
        <w:sz w:val="16"/>
      </w:rPr>
      <w:t>CASHFLOW  |  ENGINEERING REVIEW     CF-CHARTER-01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5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54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8354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88" w:lineRule="auto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项目章程与治理</dc:title>
  <dc:subject>Cashflow v0.6.4 development review draft</dc:subject>
  <dc:creator>Cashflow documentation pipeline</dc:creator>
  <cp:keywords/>
  <dc:description>Review baseline; approvals and UAT remain unsigned.</dc:description>
  <cp:lastModifiedBy>Automated documentation review; not approval</cp:lastModifiedBy>
  <cp:revision>1</cp:revision>
  <dcterms:created xsi:type="dcterms:W3CDTF">2026-10-27T11:16:52Z</dcterms:created>
  <dcterms:modified xsi:type="dcterms:W3CDTF">2026-10-27T11:16:52Z</dcterms:modified>
  <cp:category/>
</cp:coreProperties>
</file>