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玩法与数值设计 GDD</w:t>
      </w:r>
    </w:p>
    <w:p>
      <w:pPr>
        <w:pStyle w:val="Subtitle"/>
      </w:pPr>
      <w:r>
        <w:t>规则profile、财务模型、卡牌与事件状态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CF-GDD-01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机制与组件</w:t>
      </w:r>
    </w:p>
    <w:p>
      <w:r>
        <w:t>02   财务计算与实例</w:t>
      </w:r>
    </w:p>
    <w:p>
      <w:r>
        <w:t>03   事件、胜负与队列</w:t>
      </w:r>
    </w:p>
    <w:p>
      <w:r>
        <w:t>04   冲突与未决规则</w:t>
      </w:r>
    </w:p>
    <w:p>
      <w:r>
        <w:br w:type="page"/>
      </w:r>
    </w:p>
    <w:p>
      <w:pPr>
        <w:pStyle w:val="Heading1"/>
      </w:pPr>
      <w:r>
        <w:t>机制与组件</w:t>
      </w:r>
    </w:p>
    <w:p>
      <w:r>
        <w:t>当前数据修订：classic-research-v3。含12职业、55小买卖、40大买卖、45市场、42额外支出、23梦想、24内圈及48外圈。完整记录和sourceId在规则数据工作簿中。</w:t>
      </w:r>
    </w:p>
    <w:p>
      <w:r>
        <w:t>reference-web-2026-10-23与旧规则profile共存。引用官网机械字段不能自动证明实体版次、所有文案和全部运行分支一致。</w:t>
      </w:r>
    </w:p>
    <w:p>
      <w:pPr>
        <w:pStyle w:val="Heading1"/>
      </w:pPr>
      <w:r>
        <w:t>财务计算与实例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量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实现关系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卡车司机实例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月被动收入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assets中income之和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开局0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月支出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tax + other + 所有贷款payment + kids×childCost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1620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月净现金流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salary + passive − expenses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880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初始现金（参考profile）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一次性savings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750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借入2000后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现金+2000；月供增加200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现金2750，支出1820，净流入680</w:t>
            </w:r>
          </w:p>
        </w:tc>
      </w:tr>
    </w:tbl>
    <w:p>
      <w:r>
        <w:t>实牌样例 small.43：三卧室两卫住宅，总价45000，首付2000，抵押43000，净收入250。资产总价和首付不可混用；清算的回收基准需依所选规则，而非按总价随意打折。</w:t>
      </w:r>
    </w:p>
    <w:p>
      <w:pPr>
        <w:pStyle w:val="Heading1"/>
      </w:pPr>
      <w:r>
        <w:t>事件、胜负与队列</w:t>
      </w:r>
    </w:p>
    <w:p>
      <w:pPr>
        <w:pStyle w:val="Heading2"/>
      </w:pPr>
      <w:r>
        <w:t>关键数值口径表（当前实现，待规则评审）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289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公式／行为</w:t>
            </w:r>
          </w:p>
        </w:tc>
        <w:tc>
          <w:tcPr>
            <w:tcW w:type="dxa" w:w="3289"/>
            <w:shd w:fill="18354B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条件与评审边界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初始现金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参考profile：cash = savings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旧profile为savings + flow，不混用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月支出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tax + other + Σloan.payment + kids × childCost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school初始化兼容差异见DEC-04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内圈发薪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salary + Σasset.income − 月支出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本轮确认及经过格由规则处理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快车道进入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P = 内圈被动收入，要求P &gt; 月支出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确认后fastBase = P × 100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入场现金／位置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cash替换为fastBase；pos=42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charity及skip清零；table自动交棒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快车道报表收入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fastBase + fastGain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报表展示值与发薪口径需分别审阅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当前快车道发薪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fastBase + fastGain + salary − ratExpenses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engine.totals当前参考profile行为；DEC-09待审阅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新增收入胜利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fastGain &gt;= 50,000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以规则check触发，不依赖动画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梦想胜利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购买自己dreamId对应位置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费用结合dreamMultiplier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慈善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内圈总收入10%，至少1；快车道100,000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内圈后续3次可选1/2骰；快车道1/2/3骰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失业／破产恢复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失业先支付月支出，休整2次；重整恢复休整3次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休整确认后交棒，不能额外掷骰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银行借款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每次正整千，参考profile上限9,999,000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余额及现金增加，月供为银行余额10%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偿还银行债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整千舍入并受现金与余额约束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非银行个人债务全额结清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证券确认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买入1..99,999整数份；卖出≤持仓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买入扣price×q；卖出先处理低成本批次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投资检定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die &gt;= rollmin为成功</w:t>
            </w:r>
          </w:p>
        </w:tc>
        <w:tc>
          <w:tcPr>
            <w:tcW w:type="dxa" w:w="3289"/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8354B"/>
                <w:sz w:val="18"/>
              </w:rPr>
              <w:t>先付投入；确认结果不重复扣款</w:t>
            </w:r>
          </w:p>
        </w:tc>
      </w:tr>
    </w:tbl>
    <w:p>
      <w:r>
        <w:t>主状态由table控制active／rolled／ui，子状态由pending.kind承载。强制事件必须经确认或合法子流程完成后才可结束回合；取消应返回previous而不执行交易。</w:t>
      </w:r>
    </w:p>
    <w:p>
      <w:r>
        <w:t>参考profile中，内圈被动收入严格大于支出才提出进入快车道确认；进入时基础现金流转换与初始资金按引擎实现处理。新增现金流达到50,000或购买自己的梦想可以获胜。破产包含资产清算、偿债、债务减半、恢复休整或出局。</w:t>
      </w:r>
    </w:p>
    <w:p>
      <w:r>
        <w:t>随机骰与牌序只在规则／权威服务使用；DOM、音效或动画失败不得额外结算。在线响应不带未来decks。</w:t>
      </w:r>
    </w:p>
    <w:p>
      <w:pPr>
        <w:pStyle w:val="Heading1"/>
      </w:pPr>
      <w:r>
        <w:t>冲突与未决规则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当前事实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处理要求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DEC-01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参考版次: 官网经典在线版与实体101不可默认等同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确认最终比较版本和合法使用边界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DEC-02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黄金结算: 官网观察600；当前按10×600=6000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选择复现网站行为或卡面计算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DEC-03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语言与视觉: 当前中文、参考站英文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分开确认文案、布局、像素与字体目标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DEC-04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教育贷款: 参考profile初始化省略school债务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确认兼容范围，保留旧profile区别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待核验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DEC-05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多骰位置: 原图与单骰模板锚点已核对，多骰居中属实现选择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补充不同页面的原站运行坐标证据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待核验</w:t>
            </w:r>
          </w:p>
        </w:tc>
      </w:tr>
    </w:tbl>
    <w:p>
      <w:r>
        <w:t>原始官网实测、第三方镜像、独立机械夹具和推断需要在来源台账区分。金钱边界、银行按整千偿还与股票份数等应通过独立样例验证，不只镜像实现代码。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CF-GDD-01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GDD玩法与数值设计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