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CASHFLOW · WEB GAME</w:t>
      </w:r>
    </w:p>
    <w:p>
      <w:pPr>
        <w:pStyle w:val="Title"/>
      </w:pPr>
      <w:r>
        <w:t>技术设计与联调契约</w:t>
      </w:r>
    </w:p>
    <w:p>
      <w:pPr>
        <w:pStyle w:val="Subtitle"/>
      </w:pPr>
      <w:r>
        <w:t>模块边界、权威结算、持久化与故障处理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受控项</w:t>
            </w:r>
          </w:p>
        </w:tc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文档编号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CF-TDD-01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实现基线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v0.6.4 / 236a3933ecef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编制与复核日期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2026-10-27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文档性质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基于现有实现补建的评审稿；不是已批准的大公司内部模板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批准状态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产品／技术／QA／用户角色待指定并签署；未补造历史批准</w:t>
            </w:r>
          </w:p>
        </w:tc>
      </w:tr>
    </w:tbl>
    <w:p>
      <w:pPr>
        <w:pStyle w:val="Heading1"/>
      </w:pPr>
      <w:r>
        <w:t>阅读说明</w:t>
      </w:r>
    </w:p>
    <w:p>
      <w:r>
        <w:t>蓝色章节对应开发依据；表格中的“已有证据”限定到列出的版本和测试范围。待评审、待实测和未决差异不得作为发布通过结论。数字、来源与代码路径均按当前仓库复核。</w:t>
      </w:r>
    </w:p>
    <w:p>
      <w:pPr>
        <w:pStyle w:val="Heading1"/>
      </w:pPr>
      <w:r>
        <w:t>本文件目录</w:t>
      </w:r>
    </w:p>
    <w:p>
      <w:r>
        <w:t>01   运行架构</w:t>
      </w:r>
    </w:p>
    <w:p>
      <w:r>
        <w:t>02   在线协议与并发</w:t>
      </w:r>
    </w:p>
    <w:p>
      <w:r>
        <w:t>03   数据与存档</w:t>
      </w:r>
    </w:p>
    <w:p>
      <w:r>
        <w:t>04   错误与恢复</w:t>
      </w:r>
    </w:p>
    <w:p>
      <w:r>
        <w:br w:type="page"/>
      </w:r>
    </w:p>
    <w:p>
      <w:pPr>
        <w:pStyle w:val="Heading1"/>
      </w:pPr>
      <w:r>
        <w:t>运行架构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输入／输出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engine.js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规则引擎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玩家现金、资产、贷款与pending转换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不得依赖DOM或音效成功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table.js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多人轮序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active、rolled、队列、逐人梦想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共享事件不能重复执行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reference-data.js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规则数据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12职业、182机制牌、48外圈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来源字段与sourceId可追溯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online.js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会话客户端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版本、指令、重连和UI权限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不能在断线时自行结算在线交易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local-rooms.js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离线适配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同机房间与持久化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不是跨设备安全或联机服务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scripts/rooms.cjs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权威房间服务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认证、轮序、版本、磁盘保存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单进程文件模型，非分布式事务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interaction.js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状态展示与操作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卡片、报表、检查棋盘、草稿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关闭窗口不应改变交易状态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classic-stage.js / scene-canvas.js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布局与绘制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固定舞台、原图、文本和动态层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Canvas和DOM需同步且受字段边界约束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scripts/build-preview.py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交付构建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内嵌index与离线HTML、版本与SHA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候选构建不等于正式原版全等验收</w:t>
            </w:r>
          </w:p>
        </w:tc>
      </w:tr>
    </w:tbl>
    <w:p>
      <w:r>
        <w:t>原生接口文件openapi.json使用OpenAPI 3.1；game.schema.json使用JSON Schema 2020-12。它们是本次补建的联调契约，当前服务并未自动挂载Schema验证中间件；引擎与房间服务的业务校验仍为实际权威。</w:t>
      </w:r>
    </w:p>
    <w:p>
      <w:pPr>
        <w:pStyle w:val="Heading1"/>
      </w:pPr>
      <w:r>
        <w:t>在线协议与并发</w:t>
      </w:r>
    </w:p>
    <w:p>
      <w:r>
        <w:t>同源HTTP JSON接口，以Authorization: Bearer传会话。房间创建／加入签发token；服务端保存哈希并剔除客户端decks。多数写操作要求最新version，聊天例外。</w:t>
      </w:r>
    </w:p>
    <w:p>
      <w:r>
        <w:t>version用于乐观并发和拒绝重复／过期动作，不等于已实现通用idempotency-key协议。GET读房间也更新presence；离线重连可能改变版本。客户端遇409应先拉取最新状态，不能悄悄再结算一次。</w:t>
      </w:r>
    </w:p>
    <w:p>
      <w:r>
        <w:t>游戏动作先克隆状态、应用规则成功后替换房间；失败不能把半完成状态写回。POST来源校验、请求8192字节限制、密码scrypt与token哈希等控制已有实现，但尚无完整安全审计。</w:t>
      </w:r>
    </w:p>
    <w:p>
      <w:pPr>
        <w:pStyle w:val="Heading1"/>
      </w:pPr>
      <w:r>
        <w:t>数据与存档</w:t>
      </w:r>
    </w:p>
    <w:p>
      <w:r>
        <w:t>game v3、规则修订和rulesProfile分别表达结构、数据版本与兼容规则。schema覆盖外层、玩家、资产／贷款、历史与主要pending数据。无法由JSON Schema表达的轮序、金额平衡、引用存在性仍在规则层验证。</w:t>
      </w:r>
    </w:p>
    <w:p>
      <w:r>
        <w:t>app本机游戏键cashflow-classic-table-v3；离线房间cashflow-local-rooms-v1；在线会话cashflow-online-session-v1。它们不是相同内容，不应只备份一个键就承诺全恢复。</w:t>
      </w:r>
    </w:p>
    <w:p>
      <w:r>
        <w:t>服务端文件包version=1，默认.cashflow/rooms.json；写临时文件再rename。当前是单进程JSON存储模型，没有共享数据库与分布式锁，不应直接横向复制服务进程。</w:t>
      </w:r>
    </w:p>
    <w:p>
      <w:pPr>
        <w:pStyle w:val="Heading1"/>
      </w:pPr>
      <w:r>
        <w:t>错误与恢复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情形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实际行为／要求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联调检查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401/403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会话或权限失败；不在本地补操作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无token、旁观者动作、来源校验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409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version过期，恢复最新视图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重复点击、重连后旧版本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400/413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参数／规则错误或请求过大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金额、骰子、JSON与消息边界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短暂断网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保留会话并重试恢复；期间阻止本地在线结算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刷新、恢复、同一浏览器接回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存档不兼容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校验版本与字段；不默认迁移成功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旧样例与实际回退演练</w:t>
            </w:r>
          </w:p>
        </w:tc>
      </w:tr>
    </w:tbl>
    <w:p>
      <w:r>
        <w:t>容量、TLS、代理信任、跨版本迁移和恢复时间尚无正式批准指标。需要按部署环境评审，不把现有代码限制写成通过的SLA。</w:t>
      </w:r>
    </w:p>
    <w:p>
      <w:pPr>
        <w:pStyle w:val="Heading1"/>
      </w:pPr>
      <w:r>
        <w:t>评审与变更控制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应复核内容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产品／策划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范围、规则冲突和验收口径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待指定，未签署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设计／研发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页面、契约、实现与技术边界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需按文档问题单评审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QA／用户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证据可复现性及实际交付包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自动化证据与用户签收分开</w:t>
            </w:r>
          </w:p>
        </w:tc>
      </w:tr>
    </w:tbl>
    <w:p>
      <w:r>
        <w:t>变更登记：文档版本1.0；本次建立原生Office交付与结构化契约。后续应记录需求／决策ID、受影响文件、修订内容、评审结论及关联构建；批准栏不得由生成工具自动填写。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SC" w:hAnsi="Noto Sans CJK SC" w:eastAsia="Noto Sans CJK SC"/>
        <w:b w:val="0"/>
        <w:color w:val="64748B"/>
        <w:sz w:val="16"/>
      </w:rPr>
      <w:t xml:space="preserve">v0.6.4  /  待评审基线  /  2026-10-27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4748B"/>
        <w:sz w:val="16"/>
      </w:rPr>
      <w:t>CASHFLOW  |  ENGINEERING REVIEW     CF-TDD-01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5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88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技术设计与联调契约</dc:title>
  <dc:subject>Cashflow v0.6.4 development review draft</dc:subject>
  <dc:creator>Cashflow documentation pipeline</dc:creator>
  <cp:keywords/>
  <dc:description>Review baseline; approvals and UAT remain unsigned.</dc:description>
  <cp:lastModifiedBy>Automated documentation review; not approval</cp:lastModifiedBy>
  <cp:revision>1</cp:revision>
  <dcterms:created xsi:type="dcterms:W3CDTF">2026-10-27T11:16:52Z</dcterms:created>
  <dcterms:modified xsi:type="dcterms:W3CDTF">2026-10-27T11:16:52Z</dcterms:modified>
  <cp:category/>
</cp:coreProperties>
</file>