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实施计划与部门交接</w:t>
      </w:r>
    </w:p>
    <w:p>
      <w:pPr>
        <w:pStyle w:val="Subtitle"/>
      </w:pPr>
      <w:r>
        <w:t>WBS依赖、责任、需求追踪和完成定义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CF-PLAN-01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开发阶段与产物</w:t>
      </w:r>
    </w:p>
    <w:p>
      <w:r>
        <w:t>02   跨部门交接</w:t>
      </w:r>
    </w:p>
    <w:p>
      <w:r>
        <w:t>03   变更与完成定义</w:t>
      </w:r>
    </w:p>
    <w:p>
      <w:r>
        <w:br w:type="page"/>
      </w:r>
    </w:p>
    <w:p>
      <w:pPr>
        <w:pStyle w:val="Heading1"/>
      </w:pPr>
      <w:r>
        <w:t>开发阶段与产物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子阶段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环境骨架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范围与技术边界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启动／构建入口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可复现环境记录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规则与数据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GDD、决策与字段字典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引擎、导入数据、独立夹具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金额和边界可验证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纵向切片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一个用户故事与接口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开局至一次结算与保存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取消、失败和刷新也贯通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完整闭环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全部关键状态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单机／联机与恢复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主流程及异常回归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表现与稳定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UI规格及缺陷台账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界面、音频、候选包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实际数据、长中文、字体失败验证</w:t>
            </w:r>
          </w:p>
        </w:tc>
      </w:tr>
    </w:tbl>
    <w:p>
      <w:r>
        <w:t>已有功能并不能追溯证明所有历史门禁获批。工作分解表同时记录已有证据与剩余实施任务，不虚构承诺日期和人员。</w:t>
      </w:r>
    </w:p>
    <w:p>
      <w:pPr>
        <w:pStyle w:val="Heading1"/>
      </w:pPr>
      <w:r>
        <w:t>跨部门交接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交接双方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必须交付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验收责任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产品→策划／设计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带ID需求、范围和冲突决定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目标与标准可执行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策划→规则／数据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字段含义、公式、例子、来源和边界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结算与牌面不能各自解释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UX/UI→前端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状态表、坐标、字体、层级、素材和异常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中文与最大金额有处理策略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前端↔后端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指令、请求响应、权限、错误与恢复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双方用相同版本契约联调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研发→QA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受测提交、构建、样例、影响范围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证据能复现并追溯需求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QA→发布／用户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候选包SHA、缺陷与验收结果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包和报告一致、遗留明确</w:t>
            </w:r>
          </w:p>
        </w:tc>
      </w:tr>
    </w:tbl>
    <w:p>
      <w:pPr>
        <w:pStyle w:val="Heading1"/>
      </w:pPr>
      <w:r>
        <w:t>变更与完成定义</w:t>
      </w:r>
    </w:p>
    <w:p>
      <w:r>
        <w:t>任务完成需同时满足：输入版本明确、实现可定位、针对性及必要回归通过、接口／Schema／数据／页面同步更新、未决问题记账。开发完成、QA通过、产品批准和用户签收是四个不同状态。</w:t>
      </w:r>
    </w:p>
    <w:p>
      <w:r>
        <w:t>当前P0：真实file入口、规则比较基准和高影响差异决定。P1：逐页批准基线、存档迁移、接口契约评审。P2：容量性能、安全和可访问性目标及实测。工作簿给出前置依赖和负责角色；实际负责人、预算和时间待正式分配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CF-PLAN-01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实施计划与部门交接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