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发布运维与回退手册</w:t>
      </w:r>
    </w:p>
    <w:p>
      <w:pPr>
        <w:pStyle w:val="Subtitle"/>
      </w:pPr>
      <w:r>
        <w:t>受测包、环境、发布步骤与数据保护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CF-REL-01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构建与环境</w:t>
      </w:r>
    </w:p>
    <w:p>
      <w:r>
        <w:t>02   发布操作</w:t>
      </w:r>
    </w:p>
    <w:p>
      <w:r>
        <w:t>03   回退与恢复</w:t>
      </w:r>
    </w:p>
    <w:p>
      <w:r>
        <w:t>04   发布准入</w:t>
      </w:r>
    </w:p>
    <w:p>
      <w:r>
        <w:br w:type="page"/>
      </w:r>
    </w:p>
    <w:p>
      <w:pPr>
        <w:pStyle w:val="Heading1"/>
      </w:pPr>
      <w:r>
        <w:t>构建与环境</w:t>
      </w:r>
    </w:p>
    <w:p>
      <w:r>
        <w:t>Node.js 18+；运行服务无需安装运行依赖，浏览器测试另需Playwright和Chromium。npm run build:preview用于阶段包；npm run release:check针对更强的原版全等要求，当前应阻断。</w:t>
      </w:r>
    </w:p>
    <w:p>
      <w:r>
        <w:t>完整包index内嵌运行资源并按协议选择本机／在线适配；cashflow-offline.html保持纯离线。本机双击与HTTP静态托管、Node联机服务属于不同交付场景，检查表必须分行记录。</w:t>
      </w:r>
    </w:p>
    <w:p>
      <w:pPr>
        <w:pStyle w:val="Heading1"/>
      </w:pPr>
      <w:r>
        <w:t>发布操作</w:t>
      </w:r>
    </w:p>
    <w:p>
      <w:r>
        <w:t>1. 固定提交与版本并备份存档；2. 执行适用回归并留存日志；3. 构建ZIP；4. 解压实际包分别检查入口和在线；5. 校验HTML与受测文件SHA；6. 保存下载地址、配置与已知差异；7. 记录批准和发布责任人。</w:t>
      </w:r>
    </w:p>
    <w:p>
      <w:r>
        <w:t>Node启动命令：node scripts/serve.cjs --host 0.0.0.0 --port 3000。健康检查GET /healthz。默认存档.cashflow/rooms.json，可用CASHFLOW_ROOMS_FILE指定。域名、TLS、代理、磁盘权限和可访问范围必须按实际部署验证。</w:t>
      </w:r>
    </w:p>
    <w:p>
      <w:pPr>
        <w:pStyle w:val="Heading1"/>
      </w:pPr>
      <w:r>
        <w:t>回退与恢复</w:t>
      </w:r>
    </w:p>
    <w:p>
      <w:r>
        <w:t>先停止新写入、备份现有数据和配置，再恢复旧构建。只有旧版本已验证可读该存档才可直接接回；跨版本不兼容时先按演练的迁移／还原路径恢复，不承诺盲目降级成功。</w:t>
      </w:r>
    </w:p>
    <w:p>
      <w:r>
        <w:t>现有记录没有完整迁移及回退演练结论。工作簿提供检查项目与执行证据栏，当前未执行的项目保持待执行。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18354B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466"/>
            <w:shd w:fill="18354B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实际操作／命令</w:t>
            </w:r>
          </w:p>
        </w:tc>
        <w:tc>
          <w:tcPr>
            <w:tcW w:type="dxa" w:w="2466"/>
            <w:shd w:fill="18354B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应留证据</w:t>
            </w:r>
          </w:p>
        </w:tc>
        <w:tc>
          <w:tcPr>
            <w:tcW w:type="dxa" w:w="2466"/>
            <w:shd w:fill="18354B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备份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停写后复制存档及配置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备份路径、时间与可恢复性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演练待执行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构建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npm run build:preview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ZIP版本、提交与SHA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有阶段构建记录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启动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node scripts/serve.cjs --host 0.0.0.0 --port 3000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listening输出与GET /healthz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实际部署需重测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联机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两个浏览器加入同一个服务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准备、轮序和权限结果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已有自动化证据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本地入口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解压并双击index.html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设备、浏览器、缩放与完整流程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真实文件入口待实测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回退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停写→备份→旧包与兼容存档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旧版本可读及关键场景</w:t>
            </w:r>
          </w:p>
        </w:tc>
        <w:tc>
          <w:tcPr>
            <w:tcW w:type="dxa" w:w="2466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待演练</w:t>
            </w:r>
          </w:p>
        </w:tc>
      </w:tr>
    </w:tbl>
    <w:p>
      <w:pPr>
        <w:pStyle w:val="Heading1"/>
      </w:pPr>
      <w:r>
        <w:t>发布准入</w:t>
      </w:r>
    </w:p>
    <w:p>
      <w:r>
        <w:t>受测文件与下载包一致；阻断缺陷关闭；遗留差异获明确处理；兼容及实际入口达到已约定范围；备份和回退步骤可执行；候选包被产品／QA确认。源码推送不能代替部署成功，阶段包也不能代替原版全等验收。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CF-REL-01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发布运维与回退手册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