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CASHFLOW · WEB GAME</w:t>
      </w:r>
    </w:p>
    <w:p>
      <w:pPr>
        <w:pStyle w:val="Title"/>
      </w:pPr>
      <w:r>
        <w:t>缺陷、决策与持续维护</w:t>
      </w:r>
    </w:p>
    <w:p>
      <w:pPr>
        <w:pStyle w:val="Subtitle"/>
      </w:pPr>
      <w:r>
        <w:t>从用户反馈到复验关闭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受控项</w:t>
            </w:r>
          </w:p>
        </w:tc>
        <w:tc>
          <w:tcPr>
            <w:tcW w:type="dxa" w:w="4933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文档编号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CF-OPS-01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实现基线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v0.6.4 / 236a3933ecef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编制与复核日期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文档性质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基于现有实现补建的评审稿；不是已批准的大公司内部模板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批准状态</w:t>
            </w:r>
          </w:p>
        </w:tc>
        <w:tc>
          <w:tcPr>
            <w:tcW w:type="dxa" w:w="4933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产品／技术／QA／用户角色待指定并签署；未补造历史批准</w:t>
            </w:r>
          </w:p>
        </w:tc>
      </w:tr>
    </w:tbl>
    <w:p>
      <w:pPr>
        <w:pStyle w:val="Heading1"/>
      </w:pPr>
      <w:r>
        <w:t>阅读说明</w:t>
      </w:r>
    </w:p>
    <w:p>
      <w:r>
        <w:t>蓝色章节对应开发依据；表格中的“已有证据”限定到列出的版本和测试范围。待评审、待实测和未决差异不得作为发布通过结论。数字、来源与代码路径均按当前仓库复核。</w:t>
      </w:r>
    </w:p>
    <w:p>
      <w:pPr>
        <w:pStyle w:val="Heading1"/>
      </w:pPr>
      <w:r>
        <w:t>本文件目录</w:t>
      </w:r>
    </w:p>
    <w:p>
      <w:r>
        <w:t>01   问题生命周期</w:t>
      </w:r>
    </w:p>
    <w:p>
      <w:r>
        <w:t>02   当前问题与决定</w:t>
      </w:r>
    </w:p>
    <w:p>
      <w:r>
        <w:t>03   变更评审与影响</w:t>
      </w:r>
    </w:p>
    <w:p>
      <w:r>
        <w:br w:type="page"/>
      </w:r>
    </w:p>
    <w:p>
      <w:pPr>
        <w:pStyle w:val="Heading1"/>
      </w:pPr>
      <w:r>
        <w:t>问题生命周期</w:t>
      </w:r>
    </w:p>
    <w:p>
      <w:r>
        <w:t>反馈→编号→复现→影响分析→决定范围→更新契约→修复→针对性测试→影响回归→候选包校验→用户复验→关闭。未复现、待验证、待用户复验不得直接标记为已关闭。</w:t>
      </w:r>
    </w:p>
    <w:p>
      <w:pPr>
        <w:pStyle w:val="Heading1"/>
      </w:pPr>
      <w:r>
        <w:t>当前问题与决定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处理要求</w:t>
            </w:r>
          </w:p>
        </w:tc>
        <w:tc>
          <w:tcPr>
            <w:tcW w:type="dxa" w:w="2466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DEC-01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参考版次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确认最终比较版本和合法使用边界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DEC-02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黄金结算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选择复现网站行为或卡面计算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DEC-03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语言与视觉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分开确认文案、布局、像素与字体目标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待确认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DEC-04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教育贷款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确认兼容范围，保留旧profile区别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待核验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DEC-05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多骰位置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补充不同页面的原站运行坐标证据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待核验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DEC-06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真实文件入口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Windows/Edge及Chrome真实双击并记录SHA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待执行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DEC-07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性能目标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确定并发、响应延迟、存档写入预算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待评审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DEC-08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最终签收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产品、规则审阅与用户签收具体候选包</w:t>
            </w:r>
          </w:p>
        </w:tc>
        <w:tc>
          <w:tcPr>
            <w:tcW w:type="dxa" w:w="2466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待执行</w:t>
            </w:r>
          </w:p>
        </w:tc>
      </w:tr>
    </w:tbl>
    <w:p>
      <w:r>
        <w:t>历史修复：v0.6.3本地入口、报表与骰子显示；v0.6.4股票金额、快车道旧布局回退、棋盘遮挡与原图骰子。记录对应源码和日志，不将历史自动化证据等同于用户已经签收。</w:t>
      </w:r>
    </w:p>
    <w:p>
      <w:pPr>
        <w:pStyle w:val="Heading1"/>
      </w:pPr>
      <w:r>
        <w:t>变更评审与影响</w:t>
      </w:r>
    </w:p>
    <w:p>
      <w:r>
        <w:t>每项变更记录需求／决策ID、规则数值与牌面、前后端指令、Schema、存档、素材、取消／恢复、测试与发布影响。实现可兼容不等于设计已批准，所有例外需要留下决定人与理由。</w:t>
      </w:r>
    </w:p>
    <w:p>
      <w:r>
        <w:t>维护负责人实际姓名、响应时限和SLA尚未指定。当前文档提供职责与检查依据，不填写没有事实支持的服务承诺。</w:t>
      </w:r>
    </w:p>
    <w:p>
      <w:pPr>
        <w:pStyle w:val="Heading1"/>
      </w:pPr>
      <w:r>
        <w:t>评审与变更控制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应复核内容</w:t>
            </w:r>
          </w:p>
        </w:tc>
        <w:tc>
          <w:tcPr>
            <w:tcW w:type="dxa" w:w="3289"/>
            <w:shd w:fill="18354B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产品／策划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范围、规则冲突和验收口径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待指定，未签署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设计／研发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页面、契约、实现与技术边界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需按文档问题单评审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QA／用户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证据可复现性及实际交付包</w:t>
            </w:r>
          </w:p>
        </w:tc>
        <w:tc>
          <w:tcPr>
            <w:tcW w:type="dxa" w:w="3289"/>
          </w:tcPr>
          <w:p>
            <w:pPr>
              <w:spacing w:after="80" w:before="60"/>
            </w:pPr>
            <w:r>
              <w:rPr>
                <w:rFonts w:ascii="Noto Sans CJK SC" w:hAnsi="Noto Sans CJK SC" w:eastAsia="Noto Sans CJK SC"/>
                <w:b w:val="0"/>
                <w:color w:val="22384A"/>
                <w:sz w:val="18"/>
              </w:rPr>
              <w:t>自动化证据与用户签收分开</w:t>
            </w:r>
          </w:p>
        </w:tc>
      </w:tr>
    </w:tbl>
    <w:p>
      <w:r>
        <w:t>变更登记：文档版本1.0；本次建立原生Office交付与结构化契约。后续应记录需求／决策ID、受影响文件、修订内容、评审结论及关联构建；批准栏不得由生成工具自动填写。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color w:val="64748B"/>
        <w:sz w:val="16"/>
      </w:rPr>
      <w:t xml:space="preserve">v0.6.4  /  待评审基线  /  2026-10-27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4748B"/>
        <w:sz w:val="16"/>
      </w:rPr>
      <w:t>CASHFLOW  |  ENGINEERING REVIEW     CF-OPS-01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5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缺陷变更与维护规范</dc:title>
  <dc:subject>Cashflow v0.6.4 development review draft</dc:subject>
  <dc:creator>Cashflow documentation pipeline</dc:creator>
  <cp:keywords/>
  <dc:description>Review baseline; approvals and UAT remain unsigned.</dc:description>
  <cp:lastModifiedBy>Automated documentation review; not approval</cp:lastModifiedBy>
  <cp:revision>1</cp:revision>
  <dcterms:created xsi:type="dcterms:W3CDTF">2026-10-27T11:16:52Z</dcterms:created>
  <dcterms:modified xsi:type="dcterms:W3CDTF">2026-10-27T11:16:52Z</dcterms:modified>
  <cp:category/>
</cp:coreProperties>
</file>