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8D6FE" w14:textId="77777777" w:rsidR="001C7BDC" w:rsidRPr="001C7BDC" w:rsidRDefault="001C7BDC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Software Quality Assurance Plan (SQAP)</w:t>
      </w:r>
    </w:p>
    <w:p w14:paraId="486CA3B1" w14:textId="731C0E94" w:rsidR="001C7BDC" w:rsidRPr="001C7BDC" w:rsidRDefault="001C7BDC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 xml:space="preserve">Prepared By: </w:t>
      </w:r>
      <w:r w:rsidR="002D5809">
        <w:rPr>
          <w:rFonts w:ascii="Times New Roman" w:hAnsi="Times New Roman" w:cs="Times New Roman"/>
          <w:b/>
          <w:bCs/>
          <w:sz w:val="24"/>
          <w:szCs w:val="24"/>
        </w:rPr>
        <w:t>DnD Forge</w:t>
      </w:r>
    </w:p>
    <w:p w14:paraId="0AD099D7" w14:textId="7085E0E6" w:rsidR="001C7BDC" w:rsidRPr="001C7BDC" w:rsidRDefault="001C7BDC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 xml:space="preserve">Prepared For: </w:t>
      </w:r>
      <w:r w:rsidR="00773E22">
        <w:rPr>
          <w:rFonts w:ascii="Times New Roman" w:hAnsi="Times New Roman" w:cs="Times New Roman"/>
          <w:b/>
          <w:bCs/>
          <w:sz w:val="24"/>
          <w:szCs w:val="24"/>
        </w:rPr>
        <w:t>A Software Company</w:t>
      </w:r>
    </w:p>
    <w:p w14:paraId="7FAA8D17" w14:textId="733DC185" w:rsidR="001C7BDC" w:rsidRPr="001C7BDC" w:rsidRDefault="001C7BDC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 xml:space="preserve">Approved By: </w:t>
      </w:r>
      <w:r w:rsidR="002D5809">
        <w:rPr>
          <w:rFonts w:ascii="Times New Roman" w:hAnsi="Times New Roman" w:cs="Times New Roman"/>
          <w:b/>
          <w:bCs/>
          <w:sz w:val="24"/>
          <w:szCs w:val="24"/>
        </w:rPr>
        <w:t>Wood</w:t>
      </w:r>
    </w:p>
    <w:p w14:paraId="4CF3B034" w14:textId="6AFACEE1" w:rsidR="001C7BDC" w:rsidRDefault="001C7BDC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 xml:space="preserve">Authors: </w:t>
      </w:r>
      <w:r w:rsidR="002D5809">
        <w:rPr>
          <w:rFonts w:ascii="Times New Roman" w:hAnsi="Times New Roman" w:cs="Times New Roman"/>
          <w:b/>
          <w:bCs/>
          <w:sz w:val="24"/>
          <w:szCs w:val="24"/>
        </w:rPr>
        <w:t>Bryant Campbell</w:t>
      </w:r>
    </w:p>
    <w:p w14:paraId="562783E1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724FA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E9A59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C2D3E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A0317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531F9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B35C4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7A9CD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71DF7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6129D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E72B4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272C0" w14:textId="77777777" w:rsidR="00773E22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6F4BE" w14:textId="77777777" w:rsidR="00773E22" w:rsidRPr="001C7BDC" w:rsidRDefault="00773E22" w:rsidP="00773E2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96AE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18AF543C">
          <v:rect id="_x0000_i1025" style="width:0;height:1.5pt" o:hralign="center" o:hrstd="t" o:hr="t" fillcolor="#a0a0a0" stroked="f"/>
        </w:pict>
      </w:r>
    </w:p>
    <w:p w14:paraId="2690583F" w14:textId="77777777" w:rsid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p w14:paraId="49BDEDE1" w14:textId="70FE94D5" w:rsid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 0.1.0 – 16 January 2025 – Bryant Campbell</w:t>
      </w:r>
    </w:p>
    <w:p w14:paraId="7C97883C" w14:textId="77777777" w:rsidR="001C7BDC" w:rsidRPr="001C7BDC" w:rsidRDefault="001C7BDC" w:rsidP="001C7BDC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created the initial draft of the SQAP document</w:t>
      </w:r>
    </w:p>
    <w:p w14:paraId="5C526267" w14:textId="77777777" w:rsidR="001C7BDC" w:rsidRPr="001C7BDC" w:rsidRDefault="001C7BDC" w:rsidP="001C7BDC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generated a title page with required content</w:t>
      </w:r>
    </w:p>
    <w:p w14:paraId="5F95E5F4" w14:textId="77777777" w:rsidR="001C7BDC" w:rsidRPr="001C7BDC" w:rsidRDefault="001C7BDC" w:rsidP="001C7BDC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generated a revision page for housing these change notes</w:t>
      </w:r>
    </w:p>
    <w:p w14:paraId="14A3A7FF" w14:textId="77777777" w:rsidR="001C7BDC" w:rsidRPr="001C7BDC" w:rsidRDefault="001C7BDC" w:rsidP="001C7BDC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generated a Table of Contents (TOC)</w:t>
      </w:r>
    </w:p>
    <w:p w14:paraId="657099C2" w14:textId="77777777" w:rsidR="001C7BDC" w:rsidRPr="001C7BDC" w:rsidRDefault="001C7BDC" w:rsidP="001C7BDC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generated stubs per the outline given in IEEE 730-2014</w:t>
      </w:r>
    </w:p>
    <w:p w14:paraId="536AD877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3F4503">
          <v:rect id="_x0000_i1026" style="width:0;height:1.5pt" o:hralign="center" o:hrstd="t" o:hr="t" fillcolor="#a0a0a0" stroked="f"/>
        </w:pict>
      </w:r>
    </w:p>
    <w:p w14:paraId="44FF3169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3733"/>
        <w:gridCol w:w="569"/>
      </w:tblGrid>
      <w:tr w:rsidR="001C7BDC" w:rsidRPr="001C7BDC" w14:paraId="4B4F8B50" w14:textId="77777777" w:rsidTr="001C7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75D5E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46598EB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8A84AEF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1C7BDC" w:rsidRPr="001C7BDC" w14:paraId="00CF66D9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69C2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060E52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</w:tc>
        <w:tc>
          <w:tcPr>
            <w:tcW w:w="0" w:type="auto"/>
            <w:vAlign w:val="center"/>
            <w:hideMark/>
          </w:tcPr>
          <w:p w14:paraId="21602746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7BDC" w:rsidRPr="001C7BDC" w14:paraId="320CBF21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5213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BE6212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Definitions and Acronyms</w:t>
            </w:r>
          </w:p>
        </w:tc>
        <w:tc>
          <w:tcPr>
            <w:tcW w:w="0" w:type="auto"/>
            <w:vAlign w:val="center"/>
            <w:hideMark/>
          </w:tcPr>
          <w:p w14:paraId="5BC5103C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7BDC" w:rsidRPr="001C7BDC" w14:paraId="0199A60F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1162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609F83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Reference Documents</w:t>
            </w:r>
          </w:p>
        </w:tc>
        <w:tc>
          <w:tcPr>
            <w:tcW w:w="0" w:type="auto"/>
            <w:vAlign w:val="center"/>
            <w:hideMark/>
          </w:tcPr>
          <w:p w14:paraId="03D4464D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7BDC" w:rsidRPr="001C7BDC" w14:paraId="572585F8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35C2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0F490B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SQA Plan Overview</w:t>
            </w:r>
          </w:p>
        </w:tc>
        <w:tc>
          <w:tcPr>
            <w:tcW w:w="0" w:type="auto"/>
            <w:vAlign w:val="center"/>
            <w:hideMark/>
          </w:tcPr>
          <w:p w14:paraId="3271E9DD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BDC" w:rsidRPr="001C7BDC" w14:paraId="1C1D80CE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16E42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473FBAC9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Organization and Independence</w:t>
            </w:r>
          </w:p>
        </w:tc>
        <w:tc>
          <w:tcPr>
            <w:tcW w:w="0" w:type="auto"/>
            <w:vAlign w:val="center"/>
            <w:hideMark/>
          </w:tcPr>
          <w:p w14:paraId="72ED7E91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7BDC" w:rsidRPr="001C7BDC" w14:paraId="17DCD66E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29B1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4FC33062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Software Product Risk</w:t>
            </w:r>
          </w:p>
        </w:tc>
        <w:tc>
          <w:tcPr>
            <w:tcW w:w="0" w:type="auto"/>
            <w:vAlign w:val="center"/>
            <w:hideMark/>
          </w:tcPr>
          <w:p w14:paraId="0E240B94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7BDC" w:rsidRPr="001C7BDC" w14:paraId="0C521DFB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ED24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</w:t>
            </w:r>
          </w:p>
        </w:tc>
        <w:tc>
          <w:tcPr>
            <w:tcW w:w="0" w:type="auto"/>
            <w:vAlign w:val="center"/>
            <w:hideMark/>
          </w:tcPr>
          <w:p w14:paraId="3A0833E1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67BB023F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7BDC" w:rsidRPr="001C7BDC" w14:paraId="4D2C83E7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D9A9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0" w:type="auto"/>
            <w:vAlign w:val="center"/>
            <w:hideMark/>
          </w:tcPr>
          <w:p w14:paraId="632EFA11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Standards, Practices, and Conventions</w:t>
            </w:r>
          </w:p>
        </w:tc>
        <w:tc>
          <w:tcPr>
            <w:tcW w:w="0" w:type="auto"/>
            <w:vAlign w:val="center"/>
            <w:hideMark/>
          </w:tcPr>
          <w:p w14:paraId="1C3C3791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7BDC" w:rsidRPr="001C7BDC" w14:paraId="1E912F45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00AC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369F9276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Effort, Resources, and Schedule</w:t>
            </w:r>
          </w:p>
        </w:tc>
        <w:tc>
          <w:tcPr>
            <w:tcW w:w="0" w:type="auto"/>
            <w:vAlign w:val="center"/>
            <w:hideMark/>
          </w:tcPr>
          <w:p w14:paraId="22C299C0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7BDC" w:rsidRPr="001C7BDC" w14:paraId="30CD43C7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3FB6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CBF433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Activities, Outcomes, and Tasks</w:t>
            </w:r>
          </w:p>
        </w:tc>
        <w:tc>
          <w:tcPr>
            <w:tcW w:w="0" w:type="auto"/>
            <w:vAlign w:val="center"/>
            <w:hideMark/>
          </w:tcPr>
          <w:p w14:paraId="6263FC27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BDC" w:rsidRPr="001C7BDC" w14:paraId="7B7783BD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FA71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266D9007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Product Assurance</w:t>
            </w:r>
          </w:p>
        </w:tc>
        <w:tc>
          <w:tcPr>
            <w:tcW w:w="0" w:type="auto"/>
            <w:vAlign w:val="center"/>
            <w:hideMark/>
          </w:tcPr>
          <w:p w14:paraId="543B2140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7BDC" w:rsidRPr="001C7BDC" w14:paraId="5A59FC01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5F4A7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14:paraId="0687826A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Process Assurance</w:t>
            </w:r>
          </w:p>
        </w:tc>
        <w:tc>
          <w:tcPr>
            <w:tcW w:w="0" w:type="auto"/>
            <w:vAlign w:val="center"/>
            <w:hideMark/>
          </w:tcPr>
          <w:p w14:paraId="17A2C486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7BDC" w:rsidRPr="001C7BDC" w14:paraId="63FD949D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9C76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2F03C80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Additional Considerations</w:t>
            </w:r>
          </w:p>
        </w:tc>
        <w:tc>
          <w:tcPr>
            <w:tcW w:w="0" w:type="auto"/>
            <w:vAlign w:val="center"/>
            <w:hideMark/>
          </w:tcPr>
          <w:p w14:paraId="154DC7FB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C7BDC" w:rsidRPr="001C7BDC" w14:paraId="7E924DFB" w14:textId="77777777" w:rsidTr="001C7B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B403A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61BA7D9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SQA Records</w:t>
            </w:r>
          </w:p>
        </w:tc>
        <w:tc>
          <w:tcPr>
            <w:tcW w:w="0" w:type="auto"/>
            <w:vAlign w:val="center"/>
            <w:hideMark/>
          </w:tcPr>
          <w:p w14:paraId="6E02DAD7" w14:textId="77777777" w:rsidR="001C7BDC" w:rsidRPr="001C7BDC" w:rsidRDefault="001C7BDC" w:rsidP="001C7B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BD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4DC69B55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4734F2">
          <v:rect id="_x0000_i1027" style="width:0;height:1.5pt" o:hralign="center" o:hrstd="t" o:hr="t" fillcolor="#a0a0a0" stroked="f"/>
        </w:pict>
      </w:r>
    </w:p>
    <w:p w14:paraId="56BDAA18" w14:textId="77777777" w:rsidR="00773E22" w:rsidRDefault="00773E22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B07A1" w14:textId="77777777" w:rsidR="00773E22" w:rsidRDefault="00773E22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C441B" w14:textId="77777777" w:rsidR="00773E22" w:rsidRDefault="00773E22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C874B" w14:textId="77777777" w:rsidR="00773E22" w:rsidRDefault="00773E22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5AD85" w14:textId="77777777" w:rsidR="00773E22" w:rsidRDefault="00773E22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B23C4" w14:textId="77777777" w:rsidR="00773E22" w:rsidRDefault="00773E22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8802F" w14:textId="77777777" w:rsidR="00773E22" w:rsidRDefault="00773E22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99B34" w14:textId="77777777" w:rsidR="00773E22" w:rsidRDefault="00773E22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1DD2D" w14:textId="26FA624B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Purpose and Scope</w:t>
      </w:r>
    </w:p>
    <w:p w14:paraId="33E92831" w14:textId="468132A8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 xml:space="preserve">The purpose of </w:t>
      </w:r>
      <w:r w:rsidRPr="001C7BDC">
        <w:rPr>
          <w:rFonts w:ascii="Times New Roman" w:hAnsi="Times New Roman" w:cs="Times New Roman"/>
          <w:b/>
          <w:bCs/>
          <w:sz w:val="24"/>
          <w:szCs w:val="24"/>
        </w:rPr>
        <w:t>DnD Forge</w:t>
      </w:r>
      <w:r w:rsidRPr="001C7BDC">
        <w:rPr>
          <w:rFonts w:ascii="Times New Roman" w:hAnsi="Times New Roman" w:cs="Times New Roman"/>
          <w:sz w:val="24"/>
          <w:szCs w:val="24"/>
        </w:rPr>
        <w:t xml:space="preserve"> is to provide a comprehensive digital platform for Dungeon Masters (DMs) and players to efficiently manage their Dungeons &amp; Dragons campaigns. The software </w:t>
      </w:r>
      <w:r w:rsidR="00773E22" w:rsidRPr="001C7BDC">
        <w:rPr>
          <w:rFonts w:ascii="Times New Roman" w:hAnsi="Times New Roman" w:cs="Times New Roman"/>
          <w:sz w:val="24"/>
          <w:szCs w:val="24"/>
        </w:rPr>
        <w:t>offers:</w:t>
      </w:r>
      <w:r w:rsidR="00773E22" w:rsidRPr="00773E22">
        <w:rPr>
          <w:rFonts w:ascii="Times New Roman" w:hAnsi="Times New Roman" w:cs="Times New Roman"/>
          <w:sz w:val="24"/>
          <w:szCs w:val="24"/>
        </w:rPr>
        <w:t xml:space="preserve"> Campaign</w:t>
      </w:r>
      <w:r w:rsidRPr="00773E22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773E22">
        <w:rPr>
          <w:rFonts w:ascii="Times New Roman" w:hAnsi="Times New Roman" w:cs="Times New Roman"/>
          <w:sz w:val="24"/>
          <w:szCs w:val="24"/>
        </w:rPr>
        <w:t xml:space="preserve">, </w:t>
      </w:r>
      <w:r w:rsidRPr="00773E22">
        <w:rPr>
          <w:rFonts w:ascii="Times New Roman" w:hAnsi="Times New Roman" w:cs="Times New Roman"/>
          <w:sz w:val="24"/>
          <w:szCs w:val="24"/>
        </w:rPr>
        <w:t>AI-assisted Storytelling</w:t>
      </w:r>
      <w:r w:rsidR="00773E22">
        <w:rPr>
          <w:rFonts w:ascii="Times New Roman" w:hAnsi="Times New Roman" w:cs="Times New Roman"/>
          <w:sz w:val="24"/>
          <w:szCs w:val="24"/>
        </w:rPr>
        <w:t xml:space="preserve">, </w:t>
      </w:r>
      <w:r w:rsidRPr="00773E22">
        <w:rPr>
          <w:rFonts w:ascii="Times New Roman" w:hAnsi="Times New Roman" w:cs="Times New Roman"/>
          <w:sz w:val="24"/>
          <w:szCs w:val="24"/>
        </w:rPr>
        <w:t>Character Creation</w:t>
      </w:r>
      <w:r w:rsidR="00773E22">
        <w:rPr>
          <w:rFonts w:ascii="Times New Roman" w:hAnsi="Times New Roman" w:cs="Times New Roman"/>
          <w:sz w:val="24"/>
          <w:szCs w:val="24"/>
        </w:rPr>
        <w:t xml:space="preserve">, </w:t>
      </w:r>
      <w:r w:rsidRPr="00773E22">
        <w:rPr>
          <w:rFonts w:ascii="Times New Roman" w:hAnsi="Times New Roman" w:cs="Times New Roman"/>
          <w:sz w:val="24"/>
          <w:szCs w:val="24"/>
        </w:rPr>
        <w:t>Encounter Tracking</w:t>
      </w:r>
      <w:r w:rsidR="00773E22">
        <w:rPr>
          <w:rFonts w:ascii="Times New Roman" w:hAnsi="Times New Roman" w:cs="Times New Roman"/>
          <w:sz w:val="24"/>
          <w:szCs w:val="24"/>
        </w:rPr>
        <w:t xml:space="preserve">, </w:t>
      </w:r>
      <w:r w:rsidRPr="00773E22">
        <w:rPr>
          <w:rFonts w:ascii="Times New Roman" w:hAnsi="Times New Roman" w:cs="Times New Roman"/>
          <w:sz w:val="24"/>
          <w:szCs w:val="24"/>
        </w:rPr>
        <w:t>Procedural Map Generation</w:t>
      </w:r>
      <w:r w:rsidR="00773E22">
        <w:rPr>
          <w:rFonts w:ascii="Times New Roman" w:hAnsi="Times New Roman" w:cs="Times New Roman"/>
          <w:sz w:val="24"/>
          <w:szCs w:val="24"/>
        </w:rPr>
        <w:t xml:space="preserve">, and </w:t>
      </w:r>
      <w:r w:rsidRPr="00773E22">
        <w:rPr>
          <w:rFonts w:ascii="Times New Roman" w:hAnsi="Times New Roman" w:cs="Times New Roman"/>
          <w:sz w:val="24"/>
          <w:szCs w:val="24"/>
        </w:rPr>
        <w:t>Rule Assistance</w:t>
      </w:r>
      <w:r w:rsidR="00773E22">
        <w:rPr>
          <w:rFonts w:ascii="Times New Roman" w:hAnsi="Times New Roman" w:cs="Times New Roman"/>
          <w:sz w:val="24"/>
          <w:szCs w:val="24"/>
        </w:rPr>
        <w:t xml:space="preserve">. </w:t>
      </w:r>
      <w:r w:rsidRPr="001C7BDC">
        <w:rPr>
          <w:rFonts w:ascii="Times New Roman" w:hAnsi="Times New Roman" w:cs="Times New Roman"/>
          <w:sz w:val="24"/>
          <w:szCs w:val="24"/>
        </w:rPr>
        <w:t>These features aim to enhance both in-person and online gameplay.</w:t>
      </w:r>
    </w:p>
    <w:p w14:paraId="12B7B153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The scope of this project includes the development of a user-friendly, cross-platform application that integrates AI-driven tools, secure cloud storage, and an intuitive interface to streamline campaign organization and gameplay facilitation. The project scope is clearly defined and well-understood by all stakeholders, including the acquirer, organization, project team, and SQA team.</w:t>
      </w:r>
    </w:p>
    <w:p w14:paraId="2C1A889B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 xml:space="preserve">This project is governed by </w:t>
      </w:r>
      <w:r w:rsidRPr="00773E22">
        <w:rPr>
          <w:rFonts w:ascii="Times New Roman" w:hAnsi="Times New Roman" w:cs="Times New Roman"/>
          <w:sz w:val="24"/>
          <w:szCs w:val="24"/>
        </w:rPr>
        <w:t>the Software Development and Quality Assurance Agreement</w:t>
      </w:r>
      <w:r w:rsidRPr="001C7BDC">
        <w:rPr>
          <w:rFonts w:ascii="Times New Roman" w:hAnsi="Times New Roman" w:cs="Times New Roman"/>
          <w:sz w:val="24"/>
          <w:szCs w:val="24"/>
        </w:rPr>
        <w:t xml:space="preserve"> (SDQAA), which outlines the specific responsibilities and expectations of all </w:t>
      </w:r>
      <w:proofErr w:type="gramStart"/>
      <w:r w:rsidRPr="001C7BDC">
        <w:rPr>
          <w:rFonts w:ascii="Times New Roman" w:hAnsi="Times New Roman" w:cs="Times New Roman"/>
          <w:sz w:val="24"/>
          <w:szCs w:val="24"/>
        </w:rPr>
        <w:t>involved parties</w:t>
      </w:r>
      <w:proofErr w:type="gramEnd"/>
      <w:r w:rsidRPr="001C7BDC">
        <w:rPr>
          <w:rFonts w:ascii="Times New Roman" w:hAnsi="Times New Roman" w:cs="Times New Roman"/>
          <w:sz w:val="24"/>
          <w:szCs w:val="24"/>
        </w:rPr>
        <w:t>. The deliverables of this project include the final software product, associated documentation, and any other agreed-upon work products, which will be provided to the acquirer as per the terms of the SDQAA.</w:t>
      </w:r>
    </w:p>
    <w:p w14:paraId="10F778C7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5C6EBDF">
          <v:rect id="_x0000_i1028" style="width:0;height:1.5pt" o:hralign="center" o:hrstd="t" o:hr="t" fillcolor="#a0a0a0" stroked="f"/>
        </w:pict>
      </w:r>
    </w:p>
    <w:p w14:paraId="00E1354D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2. Definitions and Acronyms</w:t>
      </w:r>
    </w:p>
    <w:p w14:paraId="5AC677A1" w14:textId="77777777" w:rsidR="001C7BDC" w:rsidRPr="001C7BDC" w:rsidRDefault="001C7BDC" w:rsidP="001C7BD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SQA</w:t>
      </w:r>
      <w:r w:rsidRPr="001C7BDC">
        <w:rPr>
          <w:rFonts w:ascii="Times New Roman" w:hAnsi="Times New Roman" w:cs="Times New Roman"/>
          <w:sz w:val="24"/>
          <w:szCs w:val="24"/>
        </w:rPr>
        <w:t>: Software Quality Assurance</w:t>
      </w:r>
      <w:r w:rsidRPr="001C7BDC">
        <w:rPr>
          <w:rFonts w:ascii="Times New Roman" w:hAnsi="Times New Roman" w:cs="Times New Roman"/>
          <w:sz w:val="24"/>
          <w:szCs w:val="24"/>
        </w:rPr>
        <w:br/>
        <w:t>A systematic process that ensures software products meet the desired quality standards through structured validation of processes and assessment of software conformance.</w:t>
      </w:r>
    </w:p>
    <w:p w14:paraId="0AE83F39" w14:textId="77777777" w:rsidR="001C7BDC" w:rsidRPr="001C7BDC" w:rsidRDefault="001C7BDC" w:rsidP="001C7BD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lastRenderedPageBreak/>
        <w:t>SQAP</w:t>
      </w:r>
      <w:r w:rsidRPr="001C7BDC">
        <w:rPr>
          <w:rFonts w:ascii="Times New Roman" w:hAnsi="Times New Roman" w:cs="Times New Roman"/>
          <w:sz w:val="24"/>
          <w:szCs w:val="24"/>
        </w:rPr>
        <w:t>: Software Quality Assurance Plan</w:t>
      </w:r>
      <w:r w:rsidRPr="001C7BDC">
        <w:rPr>
          <w:rFonts w:ascii="Times New Roman" w:hAnsi="Times New Roman" w:cs="Times New Roman"/>
          <w:sz w:val="24"/>
          <w:szCs w:val="24"/>
        </w:rPr>
        <w:br/>
        <w:t>A document that outlines the strategy, activities, and tasks to be followed during the software development process to ensure that the software product meets the required quality standards.</w:t>
      </w:r>
    </w:p>
    <w:p w14:paraId="0ACE2396" w14:textId="17637275" w:rsidR="001C7BDC" w:rsidRPr="001C7BDC" w:rsidRDefault="001C7BDC" w:rsidP="001C7BD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Deliverable</w:t>
      </w:r>
      <w:r w:rsidRPr="001C7BDC">
        <w:rPr>
          <w:rFonts w:ascii="Times New Roman" w:hAnsi="Times New Roman" w:cs="Times New Roman"/>
          <w:sz w:val="24"/>
          <w:szCs w:val="24"/>
        </w:rPr>
        <w:t>:</w:t>
      </w:r>
      <w:r w:rsidRPr="001C7BDC">
        <w:rPr>
          <w:rFonts w:ascii="Times New Roman" w:hAnsi="Times New Roman" w:cs="Times New Roman"/>
          <w:sz w:val="24"/>
          <w:szCs w:val="24"/>
        </w:rPr>
        <w:br/>
        <w:t>Item to be provided to an acquirer or other designated recipient as specified in an agreement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7BDC">
        <w:rPr>
          <w:rFonts w:ascii="Times New Roman" w:hAnsi="Times New Roman" w:cs="Times New Roman"/>
          <w:sz w:val="24"/>
          <w:szCs w:val="24"/>
        </w:rPr>
        <w:t>This item can be a document, hardware item, software item, service, or any type of work product.</w:t>
      </w:r>
    </w:p>
    <w:p w14:paraId="2137D59C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53C08D">
          <v:rect id="_x0000_i1029" style="width:0;height:1.5pt" o:hralign="center" o:hrstd="t" o:hr="t" fillcolor="#a0a0a0" stroked="f"/>
        </w:pict>
      </w:r>
    </w:p>
    <w:p w14:paraId="760A8A46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3. Reference Documents</w:t>
      </w:r>
    </w:p>
    <w:p w14:paraId="0D67A003" w14:textId="77777777" w:rsidR="001C7BDC" w:rsidRPr="001C7BDC" w:rsidRDefault="001C7BDC" w:rsidP="001C7BD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IEEE Standard for Software Quality Assurance Processes</w:t>
      </w:r>
      <w:r w:rsidRPr="001C7BDC">
        <w:rPr>
          <w:rFonts w:ascii="Times New Roman" w:hAnsi="Times New Roman" w:cs="Times New Roman"/>
          <w:sz w:val="24"/>
          <w:szCs w:val="24"/>
        </w:rPr>
        <w:br/>
        <w:t>Sponsored by the Software &amp; Systems Engineering Standards Committee. This standard defines the processes and activities necessary to establish, manage, and maintain software quality assurance throughout the software lifecycle.</w:t>
      </w:r>
    </w:p>
    <w:p w14:paraId="5B723AE0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70EA255">
          <v:rect id="_x0000_i1030" style="width:0;height:1.5pt" o:hralign="center" o:hrstd="t" o:hr="t" fillcolor="#a0a0a0" stroked="f"/>
        </w:pict>
      </w:r>
    </w:p>
    <w:p w14:paraId="48498E86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4. SQA Plan Overview</w:t>
      </w:r>
    </w:p>
    <w:p w14:paraId="48ED7AC7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4.1 Organization and Independence</w:t>
      </w:r>
    </w:p>
    <w:p w14:paraId="598C04CD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Describe the organizational structure ensuring independence in SQA.</w:t>
      </w:r>
    </w:p>
    <w:p w14:paraId="6BA10483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4.2 Software Product Risk</w:t>
      </w:r>
    </w:p>
    <w:p w14:paraId="1B36FFD7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Identify potential risks related to software quality.</w:t>
      </w:r>
    </w:p>
    <w:p w14:paraId="2801A476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4.3 Tools</w:t>
      </w:r>
    </w:p>
    <w:p w14:paraId="620F1609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List the tools used for software quality assurance.</w:t>
      </w:r>
    </w:p>
    <w:p w14:paraId="77CD48EF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4.4 Standards, Practices, and Conventions</w:t>
      </w:r>
    </w:p>
    <w:p w14:paraId="1973E7B9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Define coding, design, and documentation standards.</w:t>
      </w:r>
    </w:p>
    <w:p w14:paraId="0E8D5118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4.5 Effort, Resources, and Schedule</w:t>
      </w:r>
    </w:p>
    <w:p w14:paraId="5E6CB1A0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sz w:val="24"/>
          <w:szCs w:val="24"/>
        </w:rPr>
        <w:t>Provide an overview of resources and scheduling.</w:t>
      </w:r>
    </w:p>
    <w:p w14:paraId="0AE731E7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76912A">
          <v:rect id="_x0000_i1031" style="width:0;height:1.5pt" o:hralign="center" o:hrstd="t" o:hr="t" fillcolor="#a0a0a0" stroked="f"/>
        </w:pict>
      </w:r>
    </w:p>
    <w:p w14:paraId="6272182C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 Activities, Outcomes, and Tasks</w:t>
      </w:r>
    </w:p>
    <w:p w14:paraId="4E164519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5.1 Product Assurance</w:t>
      </w:r>
    </w:p>
    <w:p w14:paraId="4765A640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5.1.1 Evaluate Plans for Conformance</w:t>
      </w:r>
    </w:p>
    <w:p w14:paraId="21A7BABF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5.1.2 Evaluate Product for Conformance</w:t>
      </w:r>
    </w:p>
    <w:p w14:paraId="3AB3EE87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5.1.3 Evaluate Product for Acceptability</w:t>
      </w:r>
    </w:p>
    <w:p w14:paraId="23D29347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5.1.4 Evaluate Product Life Cycle Support for Conformance</w:t>
      </w:r>
    </w:p>
    <w:p w14:paraId="6068C34A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5.1.5 Measure Products</w:t>
      </w:r>
    </w:p>
    <w:p w14:paraId="2E18C613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5.2 Process Assurance</w:t>
      </w:r>
    </w:p>
    <w:p w14:paraId="077398BA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5.2.1 Evaluate Life Cycle Processes for Conformance</w:t>
      </w:r>
    </w:p>
    <w:p w14:paraId="78B6D888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5.2.2 Evaluate Environments for Conformance</w:t>
      </w:r>
    </w:p>
    <w:p w14:paraId="199DC5C1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5.2.3 Evaluate Subcontractor Processes for Conformance</w:t>
      </w:r>
    </w:p>
    <w:p w14:paraId="54B849C4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lastRenderedPageBreak/>
        <w:t>5.2.4 Measure Processes</w:t>
      </w:r>
    </w:p>
    <w:p w14:paraId="3CF2B713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5.2.5 Assess Staff Skill and Knowledge</w:t>
      </w:r>
    </w:p>
    <w:p w14:paraId="466629B2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AABBC84">
          <v:rect id="_x0000_i1032" style="width:0;height:1.5pt" o:hralign="center" o:hrstd="t" o:hr="t" fillcolor="#a0a0a0" stroked="f"/>
        </w:pict>
      </w:r>
    </w:p>
    <w:p w14:paraId="585A6AAD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6. Additional Considerations</w:t>
      </w:r>
    </w:p>
    <w:p w14:paraId="1FBB66F6" w14:textId="77777777" w:rsidR="001C7BDC" w:rsidRPr="001C7BDC" w:rsidRDefault="001C7BDC" w:rsidP="001C7BD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6.1 Contract Review</w:t>
      </w:r>
    </w:p>
    <w:p w14:paraId="7369A55C" w14:textId="77777777" w:rsidR="001C7BDC" w:rsidRPr="001C7BDC" w:rsidRDefault="001C7BDC" w:rsidP="001C7BD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6.2 Quality Measurement</w:t>
      </w:r>
    </w:p>
    <w:p w14:paraId="36F9AAE4" w14:textId="77777777" w:rsidR="001C7BDC" w:rsidRPr="001C7BDC" w:rsidRDefault="001C7BDC" w:rsidP="001C7BD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6.3 Waivers and Deviations</w:t>
      </w:r>
    </w:p>
    <w:p w14:paraId="231DB908" w14:textId="77777777" w:rsidR="001C7BDC" w:rsidRPr="001C7BDC" w:rsidRDefault="001C7BDC" w:rsidP="001C7BD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6.4 Task Repetition</w:t>
      </w:r>
    </w:p>
    <w:p w14:paraId="46503755" w14:textId="77777777" w:rsidR="001C7BDC" w:rsidRPr="001C7BDC" w:rsidRDefault="001C7BDC" w:rsidP="001C7BD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6.5 Risks to Performing SQA</w:t>
      </w:r>
    </w:p>
    <w:p w14:paraId="0E67800A" w14:textId="77777777" w:rsidR="001C7BDC" w:rsidRPr="001C7BDC" w:rsidRDefault="001C7BDC" w:rsidP="001C7BD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6.6 Communications Strategy</w:t>
      </w:r>
    </w:p>
    <w:p w14:paraId="33A7B00A" w14:textId="77777777" w:rsidR="001C7BDC" w:rsidRPr="001C7BDC" w:rsidRDefault="001C7BDC" w:rsidP="001C7BD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6.7 Non-Conformance Process</w:t>
      </w:r>
    </w:p>
    <w:p w14:paraId="43193025" w14:textId="77777777" w:rsidR="001C7BDC" w:rsidRPr="001C7BDC" w:rsidRDefault="00000000" w:rsidP="001C7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6C0000">
          <v:rect id="_x0000_i1033" style="width:0;height:1.5pt" o:hralign="center" o:hrstd="t" o:hr="t" fillcolor="#a0a0a0" stroked="f"/>
        </w:pict>
      </w:r>
    </w:p>
    <w:p w14:paraId="3858E458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7. SQA Records</w:t>
      </w:r>
    </w:p>
    <w:p w14:paraId="453CC2D5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7.1 Analyze, Identify, Collect, File, Maintain, and Dispose</w:t>
      </w:r>
    </w:p>
    <w:p w14:paraId="470B4E6E" w14:textId="77777777" w:rsidR="001C7BDC" w:rsidRPr="001C7BDC" w:rsidRDefault="001C7BDC" w:rsidP="001C7B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7BDC">
        <w:rPr>
          <w:rFonts w:ascii="Times New Roman" w:hAnsi="Times New Roman" w:cs="Times New Roman"/>
          <w:b/>
          <w:bCs/>
          <w:sz w:val="24"/>
          <w:szCs w:val="24"/>
        </w:rPr>
        <w:t>7.2 Availability of Records</w:t>
      </w:r>
    </w:p>
    <w:p w14:paraId="37433962" w14:textId="77777777" w:rsidR="00C34319" w:rsidRPr="00C34319" w:rsidRDefault="00C34319" w:rsidP="00C3431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34319" w:rsidRPr="00C3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B32D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4840D3"/>
    <w:multiLevelType w:val="hybridMultilevel"/>
    <w:tmpl w:val="B84CD79C"/>
    <w:lvl w:ilvl="0" w:tplc="E820B46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27E5"/>
    <w:multiLevelType w:val="multilevel"/>
    <w:tmpl w:val="55D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0610A"/>
    <w:multiLevelType w:val="multilevel"/>
    <w:tmpl w:val="F27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E5AC8"/>
    <w:multiLevelType w:val="multilevel"/>
    <w:tmpl w:val="D7F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0568C"/>
    <w:multiLevelType w:val="multilevel"/>
    <w:tmpl w:val="170A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D50EC"/>
    <w:multiLevelType w:val="multilevel"/>
    <w:tmpl w:val="752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F5624"/>
    <w:multiLevelType w:val="multilevel"/>
    <w:tmpl w:val="D77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943">
    <w:abstractNumId w:val="7"/>
  </w:num>
  <w:num w:numId="2" w16cid:durableId="195311339">
    <w:abstractNumId w:val="3"/>
  </w:num>
  <w:num w:numId="3" w16cid:durableId="1943800598">
    <w:abstractNumId w:val="2"/>
  </w:num>
  <w:num w:numId="4" w16cid:durableId="884099272">
    <w:abstractNumId w:val="6"/>
  </w:num>
  <w:num w:numId="5" w16cid:durableId="382366164">
    <w:abstractNumId w:val="5"/>
  </w:num>
  <w:num w:numId="6" w16cid:durableId="1507205134">
    <w:abstractNumId w:val="1"/>
  </w:num>
  <w:num w:numId="7" w16cid:durableId="2120830694">
    <w:abstractNumId w:val="0"/>
  </w:num>
  <w:num w:numId="8" w16cid:durableId="988628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19"/>
    <w:rsid w:val="00145FBC"/>
    <w:rsid w:val="001C7BDC"/>
    <w:rsid w:val="00272782"/>
    <w:rsid w:val="002D5809"/>
    <w:rsid w:val="0046695B"/>
    <w:rsid w:val="00616373"/>
    <w:rsid w:val="00773E22"/>
    <w:rsid w:val="0079294B"/>
    <w:rsid w:val="007D3621"/>
    <w:rsid w:val="00A263E0"/>
    <w:rsid w:val="00BE20F4"/>
    <w:rsid w:val="00C34319"/>
    <w:rsid w:val="00C3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C6F5"/>
  <w15:chartTrackingRefBased/>
  <w15:docId w15:val="{89E07C67-8594-4AB5-9912-5011CE4D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3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1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C7BDC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Bryant</dc:creator>
  <cp:keywords/>
  <dc:description/>
  <cp:lastModifiedBy>Campbell, Bryant</cp:lastModifiedBy>
  <cp:revision>2</cp:revision>
  <dcterms:created xsi:type="dcterms:W3CDTF">2025-01-18T02:22:00Z</dcterms:created>
  <dcterms:modified xsi:type="dcterms:W3CDTF">2025-01-18T02:22:00Z</dcterms:modified>
</cp:coreProperties>
</file>