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Author"/>
      </w:pPr>
      <w:r>
        <w:t xml:space="preserve">Son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2023-04-08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5)</w:t>
      </w:r>
    </w:p>
    <w:p>
      <w:pPr>
        <w:pStyle w:val="BodyText"/>
      </w:pPr>
      <w:r>
        <w:t xml:space="preserve">Consider the following statements:</w:t>
      </w:r>
    </w:p>
    <w:p>
      <w:pPr>
        <w:pStyle w:val="BodyText"/>
      </w:pPr>
      <w:r>
        <w:t xml:space="preserve">I. Principal Component Analysis (PCA) provide low-dimensional linear</w:t>
      </w:r>
      <w:r>
        <w:t xml:space="preserve"> </w:t>
      </w:r>
      <w:r>
        <w:t xml:space="preserve">surfaces that are closest to the observations.</w:t>
      </w:r>
    </w:p>
    <w:p>
      <w:pPr>
        <w:numPr>
          <w:ilvl w:val="0"/>
          <w:numId w:val="1001"/>
        </w:numPr>
      </w:pPr>
      <w:r>
        <w:t xml:space="preserve">The first principal component is the line in p-dimensional space that is</w:t>
      </w:r>
      <w:r>
        <w:t xml:space="preserve"> </w:t>
      </w:r>
      <w:r>
        <w:t xml:space="preserve">closest to the observations.</w:t>
      </w:r>
    </w:p>
    <w:p>
      <w:pPr>
        <w:numPr>
          <w:ilvl w:val="0"/>
          <w:numId w:val="1001"/>
        </w:numPr>
      </w:pPr>
      <w:r>
        <w:t xml:space="preserve">PCA finds a low dimension representation of a dataset that contains as</w:t>
      </w:r>
      <w:r>
        <w:t xml:space="preserve"> </w:t>
      </w:r>
      <w:r>
        <w:t xml:space="preserve">much variation as possible.</w:t>
      </w:r>
    </w:p>
    <w:p>
      <w:pPr>
        <w:numPr>
          <w:ilvl w:val="0"/>
          <w:numId w:val="1001"/>
        </w:numPr>
      </w:pPr>
      <w:r>
        <w:t xml:space="preserve">PCA serves as a tool for data visualization.</w:t>
      </w:r>
    </w:p>
    <w:p>
      <w:pPr>
        <w:pStyle w:val="FirstParagraph"/>
      </w:pPr>
      <w:r>
        <w:t xml:space="preserve">Determine which of the statements are correct.</w:t>
      </w:r>
    </w:p>
    <w:p>
      <w:pPr>
        <w:numPr>
          <w:ilvl w:val="0"/>
          <w:numId w:val="1002"/>
        </w:numPr>
        <w:pStyle w:val="Compact"/>
      </w:pPr>
      <w:r>
        <w:t xml:space="preserve">Statements I, II, and III only</w:t>
      </w:r>
    </w:p>
    <w:p>
      <w:pPr>
        <w:numPr>
          <w:ilvl w:val="0"/>
          <w:numId w:val="1002"/>
        </w:numPr>
        <w:pStyle w:val="Compact"/>
      </w:pPr>
      <w:r>
        <w:t xml:space="preserve">Statements I, II, and IV only</w:t>
      </w:r>
    </w:p>
    <w:p>
      <w:pPr>
        <w:numPr>
          <w:ilvl w:val="0"/>
          <w:numId w:val="1002"/>
        </w:numPr>
        <w:pStyle w:val="Compact"/>
      </w:pPr>
      <w:r>
        <w:t xml:space="preserve">Statements I, III, and IV only</w:t>
      </w:r>
    </w:p>
    <w:p>
      <w:pPr>
        <w:numPr>
          <w:ilvl w:val="0"/>
          <w:numId w:val="1002"/>
        </w:numPr>
        <w:pStyle w:val="Compact"/>
      </w:pPr>
      <w:r>
        <w:t xml:space="preserve">Statements II, III, and IV only</w:t>
      </w:r>
    </w:p>
    <w:p>
      <w:pPr>
        <w:numPr>
          <w:ilvl w:val="0"/>
          <w:numId w:val="1002"/>
        </w:numPr>
        <w:pStyle w:val="Compact"/>
      </w:pPr>
      <w:r>
        <w:t xml:space="preserve">Statements I, II, III, and IV are all correct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6)</w:t>
      </w:r>
    </w:p>
    <w:p>
      <w:pPr>
        <w:pStyle w:val="BodyText"/>
      </w:pPr>
      <w:r>
        <w:t xml:space="preserve">Consider the following statements:</w:t>
      </w:r>
    </w:p>
    <w:p>
      <w:pPr>
        <w:pStyle w:val="BodyText"/>
      </w:pPr>
      <w:r>
        <w:t xml:space="preserve">I. The proportion of variance explained by an additional principal</w:t>
      </w:r>
      <w:r>
        <w:t xml:space="preserve"> </w:t>
      </w:r>
      <w:r>
        <w:t xml:space="preserve">component never decreases as more principal components are added.</w:t>
      </w:r>
    </w:p>
    <w:p>
      <w:pPr>
        <w:numPr>
          <w:ilvl w:val="0"/>
          <w:numId w:val="1003"/>
        </w:numPr>
      </w:pPr>
      <w:r>
        <w:t xml:space="preserve">The cumulative proportion of variance explained never decreases as more</w:t>
      </w:r>
      <w:r>
        <w:t xml:space="preserve"> </w:t>
      </w:r>
      <w:r>
        <w:t xml:space="preserve">principal components are added.</w:t>
      </w:r>
    </w:p>
    <w:p>
      <w:pPr>
        <w:numPr>
          <w:ilvl w:val="0"/>
          <w:numId w:val="1003"/>
        </w:numPr>
      </w:pPr>
      <w:r>
        <w:t xml:space="preserve">Using all possible principal components provides the best understanding</w:t>
      </w:r>
      <w:r>
        <w:t xml:space="preserve"> </w:t>
      </w:r>
      <w:r>
        <w:t xml:space="preserve">of the data.</w:t>
      </w:r>
    </w:p>
    <w:p>
      <w:pPr>
        <w:numPr>
          <w:ilvl w:val="0"/>
          <w:numId w:val="1003"/>
        </w:numPr>
      </w:pPr>
      <w:r>
        <w:t xml:space="preserve">A scree plot provides a method for determining the number of principal</w:t>
      </w:r>
      <w:r>
        <w:t xml:space="preserve"> </w:t>
      </w:r>
      <w:r>
        <w:t xml:space="preserve">components to use.</w:t>
      </w:r>
    </w:p>
    <w:p>
      <w:pPr>
        <w:pStyle w:val="FirstParagraph"/>
      </w:pPr>
      <w:r>
        <w:t xml:space="preserve">Determine which of the statements are correct.</w:t>
      </w:r>
    </w:p>
    <w:p>
      <w:pPr>
        <w:numPr>
          <w:ilvl w:val="0"/>
          <w:numId w:val="1004"/>
        </w:numPr>
        <w:pStyle w:val="Compact"/>
      </w:pPr>
      <w:r>
        <w:t xml:space="preserve">Statements I and II only</w:t>
      </w:r>
    </w:p>
    <w:p>
      <w:pPr>
        <w:numPr>
          <w:ilvl w:val="0"/>
          <w:numId w:val="1004"/>
        </w:numPr>
        <w:pStyle w:val="Compact"/>
      </w:pPr>
      <w:r>
        <w:t xml:space="preserve">Statements I and III only</w:t>
      </w:r>
    </w:p>
    <w:p>
      <w:pPr>
        <w:numPr>
          <w:ilvl w:val="0"/>
          <w:numId w:val="1004"/>
        </w:numPr>
        <w:pStyle w:val="Compact"/>
      </w:pPr>
      <w:r>
        <w:t xml:space="preserve">Statements I and IV only</w:t>
      </w:r>
    </w:p>
    <w:p>
      <w:pPr>
        <w:numPr>
          <w:ilvl w:val="0"/>
          <w:numId w:val="1004"/>
        </w:numPr>
        <w:pStyle w:val="Compact"/>
      </w:pPr>
      <w:r>
        <w:t xml:space="preserve">Statements II and III only</w:t>
      </w:r>
    </w:p>
    <w:p>
      <w:pPr>
        <w:numPr>
          <w:ilvl w:val="0"/>
          <w:numId w:val="1004"/>
        </w:numPr>
        <w:pStyle w:val="Compact"/>
      </w:pPr>
      <w:r>
        <w:t xml:space="preserve">Statements II and IV only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30)</w:t>
      </w:r>
    </w:p>
    <w:p>
      <w:pPr>
        <w:pStyle w:val="BodyText"/>
      </w:pPr>
      <w:r>
        <w:t xml:space="preserve">Principal component analysis is applied to a large data set with four variables.</w:t>
      </w:r>
      <w:r>
        <w:t xml:space="preserve"> </w:t>
      </w:r>
      <w:r>
        <w:t xml:space="preserve">Loadings for the first four principal components are estimated.</w:t>
      </w:r>
    </w:p>
    <w:p>
      <w:pPr>
        <w:pStyle w:val="BodyText"/>
      </w:pPr>
      <w:r>
        <w:t xml:space="preserve">Determine which of the following statements is/are true with respect the loadings.</w:t>
      </w:r>
      <w:r>
        <w:t xml:space="preserve"> </w:t>
      </w:r>
      <w:r>
        <w:t xml:space="preserve">I. The loadings are unique.</w:t>
      </w:r>
    </w:p>
    <w:p>
      <w:pPr>
        <w:numPr>
          <w:ilvl w:val="0"/>
          <w:numId w:val="1005"/>
        </w:numPr>
      </w:pPr>
      <w:r>
        <w:t xml:space="preserve">For a given principal component, the sum of the squares of the loadings</w:t>
      </w:r>
      <w:r>
        <w:t xml:space="preserve"> </w:t>
      </w:r>
      <w:r>
        <w:t xml:space="preserve">across the four variables is one.</w:t>
      </w:r>
    </w:p>
    <w:p>
      <w:pPr>
        <w:numPr>
          <w:ilvl w:val="0"/>
          <w:numId w:val="1005"/>
        </w:numPr>
      </w:pPr>
      <w:r>
        <w:t xml:space="preserve">Together, the four principal components explain 100% of the variance.</w:t>
      </w:r>
    </w:p>
    <w:p>
      <w:pPr>
        <w:numPr>
          <w:ilvl w:val="0"/>
          <w:numId w:val="1006"/>
        </w:numPr>
        <w:pStyle w:val="Compact"/>
      </w:pPr>
      <w:r>
        <w:t xml:space="preserve">None</w:t>
      </w:r>
    </w:p>
    <w:p>
      <w:pPr>
        <w:numPr>
          <w:ilvl w:val="0"/>
          <w:numId w:val="1006"/>
        </w:numPr>
        <w:pStyle w:val="Compact"/>
      </w:pPr>
      <w:r>
        <w:t xml:space="preserve">I and II only</w:t>
      </w:r>
    </w:p>
    <w:p>
      <w:pPr>
        <w:numPr>
          <w:ilvl w:val="0"/>
          <w:numId w:val="1006"/>
        </w:numPr>
        <w:pStyle w:val="Compact"/>
      </w:pPr>
      <w:r>
        <w:t xml:space="preserve">I and III only</w:t>
      </w:r>
    </w:p>
    <w:p>
      <w:pPr>
        <w:numPr>
          <w:ilvl w:val="0"/>
          <w:numId w:val="1006"/>
        </w:numPr>
        <w:pStyle w:val="Compact"/>
      </w:pPr>
      <w:r>
        <w:t xml:space="preserve">II and III only</w:t>
      </w:r>
    </w:p>
    <w:p>
      <w:pPr>
        <w:numPr>
          <w:ilvl w:val="0"/>
          <w:numId w:val="1006"/>
        </w:numPr>
        <w:pStyle w:val="Compact"/>
      </w:pPr>
      <w:r>
        <w:t xml:space="preserve">The correct answer is not given by (A), (B), (C), or (D)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35)</w:t>
      </w:r>
    </w:p>
    <w:p>
      <w:pPr>
        <w:pStyle w:val="BodyText"/>
      </w:pPr>
      <w:r>
        <w:t xml:space="preserve">Using the following scree plot, determine the minimum number of principal</w:t>
      </w:r>
      <w:r>
        <w:t xml:space="preserve"> </w:t>
      </w:r>
      <w:r>
        <w:t xml:space="preserve">components that are needed to explain at least 80% of the variance of the original</w:t>
      </w:r>
      <w:r>
        <w:t xml:space="preserve"> </w:t>
      </w:r>
      <w:r>
        <w:t xml:space="preserve">dataset.</w:t>
      </w:r>
    </w:p>
    <w:p>
      <w:pPr>
        <w:pStyle w:val="BodyText"/>
      </w:pPr>
      <w:r>
        <w:drawing>
          <wp:inline>
            <wp:extent cx="5334000" cy="36368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One</w:t>
      </w:r>
    </w:p>
    <w:p>
      <w:pPr>
        <w:numPr>
          <w:ilvl w:val="0"/>
          <w:numId w:val="1007"/>
        </w:numPr>
        <w:pStyle w:val="Compact"/>
      </w:pPr>
      <w:r>
        <w:t xml:space="preserve">Two</w:t>
      </w:r>
    </w:p>
    <w:p>
      <w:pPr>
        <w:numPr>
          <w:ilvl w:val="0"/>
          <w:numId w:val="1007"/>
        </w:numPr>
        <w:pStyle w:val="Compact"/>
      </w:pPr>
      <w:r>
        <w:t xml:space="preserve">Three</w:t>
      </w:r>
    </w:p>
    <w:p>
      <w:pPr>
        <w:numPr>
          <w:ilvl w:val="0"/>
          <w:numId w:val="1007"/>
        </w:numPr>
        <w:pStyle w:val="Compact"/>
      </w:pPr>
      <w:r>
        <w:t xml:space="preserve">Four</w:t>
      </w:r>
    </w:p>
    <w:p>
      <w:pPr>
        <w:numPr>
          <w:ilvl w:val="0"/>
          <w:numId w:val="1007"/>
        </w:numPr>
        <w:pStyle w:val="Compact"/>
      </w:pPr>
      <w:r>
        <w:t xml:space="preserve">It cannot be determined from the information given.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37)</w:t>
      </w:r>
    </w:p>
    <w:p>
      <w:pPr>
        <w:pStyle w:val="BodyText"/>
      </w:pPr>
      <w:r>
        <w:t xml:space="preserve">Analysts W, X, Y, and Z are each performing Principal Components Analysis on</w:t>
      </w:r>
      <w:r>
        <w:t xml:space="preserve"> </w:t>
      </w:r>
      <w:r>
        <w:t xml:space="preserve">the same data set with three variables. They use different programs with their</w:t>
      </w:r>
      <w:r>
        <w:t xml:space="preserve"> </w:t>
      </w:r>
      <w:r>
        <w:t xml:space="preserve">default settings and discover that they have different factor loadings for the first</w:t>
      </w:r>
      <w:r>
        <w:t xml:space="preserve"> </w:t>
      </w:r>
      <w:r>
        <w:t xml:space="preserve">principal component. Their loadings are: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–0.549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–0.594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–0.549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–0.594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–0.587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–0.570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–0.809</w:t>
            </w:r>
          </w:p>
        </w:tc>
      </w:tr>
    </w:tbl>
    <w:p>
      <w:pPr>
        <w:pStyle w:val="BodyText"/>
      </w:pPr>
      <w:r>
        <w:t xml:space="preserve">Determine which of the following is/are plausible explanations for the different loadings.</w:t>
      </w:r>
    </w:p>
    <w:p>
      <w:pPr>
        <w:pStyle w:val="BodyText"/>
      </w:pPr>
      <w:r>
        <w:t xml:space="preserve">I. Loadings are unique up to a sign flip and hence X’s and Y’s programs</w:t>
      </w:r>
      <w:r>
        <w:t xml:space="preserve"> </w:t>
      </w:r>
      <w:r>
        <w:t xml:space="preserve">could make different arbitrary sign choices.</w:t>
      </w:r>
    </w:p>
    <w:p>
      <w:pPr>
        <w:numPr>
          <w:ilvl w:val="0"/>
          <w:numId w:val="1008"/>
        </w:numPr>
      </w:pPr>
      <w:r>
        <w:t xml:space="preserve">Z’s program defaults to not scaling the variables while Y’s program</w:t>
      </w:r>
      <w:r>
        <w:t xml:space="preserve"> </w:t>
      </w:r>
      <w:r>
        <w:t xml:space="preserve">defaults to scaling them.</w:t>
      </w:r>
    </w:p>
    <w:p>
      <w:pPr>
        <w:numPr>
          <w:ilvl w:val="0"/>
          <w:numId w:val="1008"/>
        </w:numPr>
      </w:pPr>
      <w:r>
        <w:t xml:space="preserve">Loadings are unique up to a sign flip and hence W’s and X’s programs</w:t>
      </w:r>
      <w:r>
        <w:t xml:space="preserve"> </w:t>
      </w:r>
      <w:r>
        <w:t xml:space="preserve">could make different arbitrary sign choices.</w:t>
      </w:r>
    </w:p>
    <w:p>
      <w:pPr>
        <w:numPr>
          <w:ilvl w:val="0"/>
          <w:numId w:val="1009"/>
        </w:numPr>
        <w:pStyle w:val="Compact"/>
      </w:pPr>
      <w:r>
        <w:t xml:space="preserve">None</w:t>
      </w:r>
    </w:p>
    <w:p>
      <w:pPr>
        <w:numPr>
          <w:ilvl w:val="0"/>
          <w:numId w:val="1009"/>
        </w:numPr>
        <w:pStyle w:val="Compact"/>
      </w:pPr>
      <w:r>
        <w:t xml:space="preserve">I and II only</w:t>
      </w:r>
    </w:p>
    <w:p>
      <w:pPr>
        <w:numPr>
          <w:ilvl w:val="0"/>
          <w:numId w:val="1009"/>
        </w:numPr>
        <w:pStyle w:val="Compact"/>
      </w:pPr>
      <w:r>
        <w:t xml:space="preserve">I and III only</w:t>
      </w:r>
    </w:p>
    <w:p>
      <w:pPr>
        <w:numPr>
          <w:ilvl w:val="0"/>
          <w:numId w:val="1009"/>
        </w:numPr>
        <w:pStyle w:val="Compact"/>
      </w:pPr>
      <w:r>
        <w:t xml:space="preserve">II and III only</w:t>
      </w:r>
    </w:p>
    <w:p>
      <w:pPr>
        <w:numPr>
          <w:ilvl w:val="0"/>
          <w:numId w:val="1009"/>
        </w:numPr>
        <w:pStyle w:val="Compact"/>
      </w:pPr>
      <w:r>
        <w:t xml:space="preserve">The correct answer is not given by (A), (B), (C), or (D).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AYU - Individual</dc:title>
  <dc:creator>Son Nguyen</dc:creator>
  <cp:keywords/>
  <dcterms:created xsi:type="dcterms:W3CDTF">2023-04-09T03:34:15Z</dcterms:created>
  <dcterms:modified xsi:type="dcterms:W3CDTF">2023-04-09T03:34:15Z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2023-04-08</vt:lpwstr>
  </property>
  <property fmtid="{D5CDD505-2E9C-101B-9397-08002B2CF9AE}" pid="3" name="output">
    <vt:lpwstr/>
  </property>
</Properties>
</file>