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AC" w:rsidRPr="00CC38AC" w:rsidRDefault="00CC38AC" w:rsidP="00FD6B18">
      <w:pPr>
        <w:pStyle w:val="Nadpis1"/>
        <w:rPr>
          <w:lang w:val="en-US"/>
        </w:rPr>
      </w:pPr>
      <w:r w:rsidRPr="00CC38AC">
        <w:rPr>
          <w:lang w:val="en-US"/>
        </w:rPr>
        <w:t xml:space="preserve">Vasopressin </w:t>
      </w:r>
    </w:p>
    <w:p w:rsidR="00BB257B" w:rsidRDefault="00CC38AC" w:rsidP="00BB257B">
      <w:pPr>
        <w:jc w:val="both"/>
        <w:rPr>
          <w:lang w:val="en-US"/>
        </w:rPr>
      </w:pPr>
      <w:r w:rsidRPr="00CC38AC">
        <w:rPr>
          <w:lang w:val="en-US"/>
        </w:rPr>
        <w:t>Arginine vasopressin known as antidiuretic hormone (ADH) has molecular weight of 1084 Dalton [http://www.prospecbio.com/Vasopressin_7_42/]</w:t>
      </w:r>
      <w:r w:rsidR="00560B41">
        <w:rPr>
          <w:lang w:val="en-US"/>
        </w:rPr>
        <w:t xml:space="preserve"> and one international unit of ADH was measured to be 2.5 pg</w:t>
      </w:r>
      <w:r w:rsidRPr="00CC38AC">
        <w:rPr>
          <w:lang w:val="en-US"/>
        </w:rPr>
        <w:t xml:space="preserve">.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>ADH a</w:t>
      </w:r>
      <w:r w:rsidR="008C1654">
        <w:rPr>
          <w:lang w:val="en-US"/>
        </w:rPr>
        <w:t xml:space="preserve">s a hypothalamic </w:t>
      </w:r>
      <w:proofErr w:type="spellStart"/>
      <w:r w:rsidR="008C1654">
        <w:rPr>
          <w:lang w:val="en-US"/>
        </w:rPr>
        <w:t>neurohormone</w:t>
      </w:r>
      <w:proofErr w:type="spellEnd"/>
      <w:r w:rsidR="008C1654">
        <w:rPr>
          <w:lang w:val="en-US"/>
        </w:rPr>
        <w:t xml:space="preserve"> is synthesized in the cell bodies of neurons in the hypothalamus and it is </w:t>
      </w:r>
      <w:proofErr w:type="spellStart"/>
      <w:r w:rsidR="008C1654">
        <w:rPr>
          <w:lang w:val="en-US"/>
        </w:rPr>
        <w:t>intracellulary</w:t>
      </w:r>
      <w:proofErr w:type="spellEnd"/>
      <w:r w:rsidR="008C1654">
        <w:rPr>
          <w:lang w:val="en-US"/>
        </w:rPr>
        <w:t xml:space="preserve"> transported to the lower side of these neurons in posterior pituitary. </w:t>
      </w:r>
    </w:p>
    <w:p w:rsidR="00BB257B" w:rsidRDefault="00BB257B" w:rsidP="00BB257B">
      <w:pPr>
        <w:jc w:val="both"/>
        <w:rPr>
          <w:lang w:val="en-US"/>
        </w:rPr>
      </w:pPr>
      <w:r w:rsidRPr="00BB257B">
        <w:rPr>
          <w:lang w:val="en-US"/>
        </w:rPr>
        <w:drawing>
          <wp:inline distT="0" distB="0" distL="0" distR="0">
            <wp:extent cx="5760720" cy="5629275"/>
            <wp:effectExtent l="19050" t="0" r="0" b="0"/>
            <wp:docPr id="2" name="Obrázek 0" descr="A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54" w:rsidRDefault="00BB257B" w:rsidP="00BB257B">
      <w:pPr>
        <w:jc w:val="both"/>
        <w:rPr>
          <w:lang w:val="en-US"/>
        </w:rPr>
      </w:pPr>
      <w:r>
        <w:rPr>
          <w:lang w:val="en-US"/>
        </w:rPr>
        <w:t>T</w:t>
      </w:r>
      <w:r w:rsidR="00CC38AC" w:rsidRPr="00CC38AC">
        <w:rPr>
          <w:lang w:val="en-US"/>
        </w:rPr>
        <w:t xml:space="preserve">he model </w:t>
      </w:r>
      <w:r>
        <w:rPr>
          <w:lang w:val="en-US"/>
        </w:rPr>
        <w:t xml:space="preserve">(Fig1) </w:t>
      </w:r>
      <w:r w:rsidR="00CC38AC" w:rsidRPr="00CC38AC">
        <w:rPr>
          <w:lang w:val="en-US"/>
        </w:rPr>
        <w:t xml:space="preserve">accumulates the </w:t>
      </w:r>
      <w:r w:rsidR="00A73AFB">
        <w:rPr>
          <w:lang w:val="en-US"/>
        </w:rPr>
        <w:t xml:space="preserve">amount of this hormone in </w:t>
      </w:r>
      <w:r>
        <w:rPr>
          <w:lang w:val="en-US"/>
        </w:rPr>
        <w:t>four</w:t>
      </w:r>
      <w:r w:rsidR="00CC38AC">
        <w:rPr>
          <w:lang w:val="en-US"/>
        </w:rPr>
        <w:t xml:space="preserve"> places: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cell bodies </w:t>
      </w:r>
      <w:r w:rsidR="00CC38AC">
        <w:rPr>
          <w:lang w:val="en-US"/>
        </w:rPr>
        <w:t xml:space="preserve">of </w:t>
      </w:r>
      <w:r w:rsidR="008C1654">
        <w:rPr>
          <w:lang w:val="en-US"/>
        </w:rPr>
        <w:t xml:space="preserve">hypothalamic </w:t>
      </w:r>
      <w:r w:rsidR="00CC38AC">
        <w:rPr>
          <w:lang w:val="en-US"/>
        </w:rPr>
        <w:t>neuron</w:t>
      </w:r>
      <w:r w:rsidR="008C1654">
        <w:rPr>
          <w:lang w:val="en-US"/>
        </w:rPr>
        <w:t>s (</w:t>
      </w:r>
      <w:r w:rsidR="00A73AFB">
        <w:rPr>
          <w:lang w:val="en-US"/>
        </w:rPr>
        <w:t>S</w:t>
      </w:r>
      <w:r w:rsidR="008C1654">
        <w:rPr>
          <w:lang w:val="en-US"/>
        </w:rPr>
        <w:t xml:space="preserve">low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from where need to be transported to the posterior pituitary part of the cell; </w:t>
      </w:r>
      <w:r w:rsidR="00560B41">
        <w:rPr>
          <w:lang w:val="en-US"/>
        </w:rPr>
        <w:t xml:space="preserve">in the </w:t>
      </w:r>
      <w:r w:rsidR="008C1654">
        <w:rPr>
          <w:lang w:val="en-US"/>
        </w:rPr>
        <w:t>posterior pituitary side of neurons</w:t>
      </w:r>
      <w:r w:rsidR="00A73AFB">
        <w:rPr>
          <w:lang w:val="en-US"/>
        </w:rPr>
        <w:t xml:space="preserve"> (F</w:t>
      </w:r>
      <w:r w:rsidR="008C1654">
        <w:rPr>
          <w:lang w:val="en-US"/>
        </w:rPr>
        <w:t xml:space="preserve">ast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where ADH is prepared for secretion into blood;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whole body </w:t>
      </w:r>
      <w:r w:rsidR="006934AA">
        <w:rPr>
          <w:lang w:val="en-US"/>
        </w:rPr>
        <w:t>extracellular fluid (ECF)</w:t>
      </w:r>
      <w:r>
        <w:rPr>
          <w:lang w:val="en-US"/>
        </w:rPr>
        <w:t xml:space="preserve">; and in the kidney </w:t>
      </w:r>
      <w:proofErr w:type="spellStart"/>
      <w:r>
        <w:rPr>
          <w:lang w:val="en-US"/>
        </w:rPr>
        <w:t>nephron</w:t>
      </w:r>
      <w:proofErr w:type="spellEnd"/>
      <w:r>
        <w:rPr>
          <w:lang w:val="en-US"/>
        </w:rPr>
        <w:t xml:space="preserve"> tissue, where it plays the role in water </w:t>
      </w:r>
      <w:proofErr w:type="spellStart"/>
      <w:r>
        <w:rPr>
          <w:lang w:val="en-US"/>
        </w:rPr>
        <w:t>reabsorbtion</w:t>
      </w:r>
      <w:proofErr w:type="spellEnd"/>
      <w:r w:rsidR="008C1654">
        <w:rPr>
          <w:lang w:val="en-US"/>
        </w:rPr>
        <w:t xml:space="preserve">. The normal </w:t>
      </w:r>
      <w:r w:rsidR="00560B41">
        <w:rPr>
          <w:lang w:val="en-US"/>
        </w:rPr>
        <w:t xml:space="preserve">amounts of ADH in these compartments </w:t>
      </w:r>
      <w:r w:rsidR="008C1654">
        <w:rPr>
          <w:lang w:val="en-US"/>
        </w:rPr>
        <w:t xml:space="preserve">are </w:t>
      </w:r>
      <w:r w:rsidR="00560B41">
        <w:rPr>
          <w:lang w:val="en-US"/>
        </w:rPr>
        <w:t xml:space="preserve">listed </w:t>
      </w:r>
      <w:r w:rsidR="008C1654">
        <w:rPr>
          <w:lang w:val="en-US"/>
        </w:rPr>
        <w:t>in table Tab1.</w:t>
      </w:r>
      <w:r w:rsidR="006934AA">
        <w:rPr>
          <w:lang w:val="en-US"/>
        </w:rPr>
        <w:t xml:space="preserve"> The normal </w:t>
      </w:r>
      <w:r w:rsidR="00407B1D">
        <w:rPr>
          <w:lang w:val="en-US"/>
        </w:rPr>
        <w:t xml:space="preserve">mean </w:t>
      </w:r>
      <w:r w:rsidR="006934AA">
        <w:rPr>
          <w:lang w:val="en-US"/>
        </w:rPr>
        <w:t xml:space="preserve">rate of synthesis, secretion and degradation is 3.2 </w:t>
      </w:r>
      <w:proofErr w:type="spellStart"/>
      <w:r w:rsidR="006934AA">
        <w:rPr>
          <w:lang w:val="en-US"/>
        </w:rPr>
        <w:t>ng</w:t>
      </w:r>
      <w:proofErr w:type="spellEnd"/>
      <w:r w:rsidR="006934AA">
        <w:rPr>
          <w:lang w:val="en-US"/>
        </w:rPr>
        <w:t>/min</w:t>
      </w:r>
      <w:r w:rsidR="00B1064D">
        <w:rPr>
          <w:lang w:val="en-US"/>
        </w:rPr>
        <w:t xml:space="preserve"> </w:t>
      </w:r>
      <w:r w:rsidR="00407B1D">
        <w:rPr>
          <w:lang w:val="en-US"/>
        </w:rPr>
        <w:t xml:space="preserve">(49.2 </w:t>
      </w:r>
      <w:proofErr w:type="spellStart"/>
      <w:r w:rsidR="00407B1D">
        <w:rPr>
          <w:lang w:val="en-US"/>
        </w:rPr>
        <w:t>fmol</w:t>
      </w:r>
      <w:proofErr w:type="spellEnd"/>
      <w:r w:rsidR="00407B1D">
        <w:rPr>
          <w:lang w:val="en-US"/>
        </w:rPr>
        <w:t xml:space="preserve">/s) </w:t>
      </w:r>
      <w:r w:rsidR="0016536E">
        <w:rPr>
          <w:lang w:val="en-US"/>
        </w:rPr>
        <w:fldChar w:fldCharType="begin"/>
      </w:r>
      <w:r w:rsidR="00B1064D">
        <w:rPr>
          <w:lang w:val="en-US"/>
        </w:rPr>
        <w:instrText xml:space="preserve"> ADDIN EN.CITE &lt;EndNote&gt;&lt;Cite&gt;&lt;Author&gt;Thrasher&lt;/Author&gt;&lt;Year&gt;2000&lt;/Year&gt;&lt;RecNum&gt;86&lt;/RecNum&gt;&lt;DisplayText&gt;[1]&lt;/DisplayText&gt;&lt;record&gt;&lt;rec-number&gt;86&lt;/rec-number&gt;&lt;foreign-keys&gt;&lt;key app="EN" db-id="d0dwe9waf0pe0uepr2avvaz0x2f5sx9rw00x" timestamp="1407156897"&gt;86&lt;/key&gt;&lt;/foreign-keys&gt;&lt;ref-type name="Journal Article"&gt;17&lt;/ref-type&gt;&lt;contributors&gt;&lt;authors&gt;&lt;author&gt;Thrasher, Terry N&lt;/author&gt;&lt;author&gt;Chen, Hong-Gen&lt;/author&gt;&lt;author&gt;Keil, Lanny C&lt;/author&gt;&lt;/authors&gt;&lt;/contributors&gt;&lt;titles&gt;&lt;title&gt;Arterial baroreceptors control plasma vasopressin responses to graded hypotension in conscious dogs&lt;/title&gt;&lt;secondary-title&gt;American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469-R475&lt;/pages&gt;&lt;volume&gt;278&lt;/volume&gt;&lt;number&gt;2&lt;/number&gt;&lt;dates&gt;&lt;year&gt;2000&lt;/year&gt;&lt;/dates&gt;&lt;isbn&gt;0363-6119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B1064D">
        <w:rPr>
          <w:noProof/>
          <w:lang w:val="en-US"/>
        </w:rPr>
        <w:t>[1]</w:t>
      </w:r>
      <w:r w:rsidR="0016536E">
        <w:rPr>
          <w:lang w:val="en-US"/>
        </w:rPr>
        <w:fldChar w:fldCharType="end"/>
      </w:r>
      <w:r w:rsidR="006934AA">
        <w:rPr>
          <w:lang w:val="en-US"/>
        </w:rPr>
        <w:t xml:space="preserve">, where the secretion is determined by </w:t>
      </w:r>
      <w:proofErr w:type="spellStart"/>
      <w:r w:rsidR="006934AA">
        <w:rPr>
          <w:lang w:val="en-US"/>
        </w:rPr>
        <w:t>osmoreceptor</w:t>
      </w:r>
      <w:r>
        <w:rPr>
          <w:lang w:val="en-US"/>
        </w:rPr>
        <w:t>s</w:t>
      </w:r>
      <w:proofErr w:type="spellEnd"/>
      <w:r w:rsidR="006934AA">
        <w:rPr>
          <w:lang w:val="en-US"/>
        </w:rPr>
        <w:t xml:space="preserve"> and pituitary activity.</w:t>
      </w:r>
    </w:p>
    <w:tbl>
      <w:tblPr>
        <w:tblStyle w:val="Svtlseznam"/>
        <w:tblW w:w="0" w:type="auto"/>
        <w:jc w:val="center"/>
        <w:tblLook w:val="04A0"/>
      </w:tblPr>
      <w:tblGrid>
        <w:gridCol w:w="2303"/>
        <w:gridCol w:w="2303"/>
        <w:gridCol w:w="2303"/>
      </w:tblGrid>
      <w:tr w:rsidR="00974221" w:rsidTr="00A73AFB">
        <w:trPr>
          <w:cnfStyle w:val="100000000000"/>
          <w:jc w:val="center"/>
        </w:trPr>
        <w:tc>
          <w:tcPr>
            <w:cnfStyle w:val="001000000000"/>
            <w:tcW w:w="2303" w:type="dxa"/>
          </w:tcPr>
          <w:p w:rsidR="00974221" w:rsidRDefault="00974221" w:rsidP="00A73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Slow Mass</w:t>
            </w:r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Fast Mass</w:t>
            </w:r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ECF</w:t>
            </w:r>
          </w:p>
        </w:tc>
      </w:tr>
      <w:tr w:rsidR="00974221" w:rsidTr="00A73AFB">
        <w:trPr>
          <w:cnfStyle w:val="000000100000"/>
          <w:jc w:val="center"/>
        </w:trPr>
        <w:tc>
          <w:tcPr>
            <w:cnfStyle w:val="001000000000"/>
            <w:tcW w:w="2303" w:type="dxa"/>
          </w:tcPr>
          <w:p w:rsidR="00974221" w:rsidRPr="00A73AFB" w:rsidRDefault="00974221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17 </w:t>
            </w:r>
            <w:proofErr w:type="spellStart"/>
            <w:r w:rsidRPr="00A73AFB">
              <w:rPr>
                <w:b w:val="0"/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0.03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</w:tr>
      <w:tr w:rsidR="00974221" w:rsidTr="00A73AFB">
        <w:trPr>
          <w:jc w:val="center"/>
        </w:trPr>
        <w:tc>
          <w:tcPr>
            <w:cnfStyle w:val="001000000000"/>
            <w:tcW w:w="2303" w:type="dxa"/>
          </w:tcPr>
          <w:p w:rsidR="00974221" w:rsidRPr="00A73AFB" w:rsidRDefault="00974221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15.7 </w:t>
            </w:r>
            <w:proofErr w:type="spellStart"/>
            <w:r w:rsidRPr="00A73AFB">
              <w:rPr>
                <w:b w:val="0"/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2.95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0.028 </w:t>
            </w:r>
            <w:proofErr w:type="spellStart"/>
            <w:r w:rsidR="00A73AFB">
              <w:rPr>
                <w:lang w:val="en-US"/>
              </w:rPr>
              <w:t>n</w:t>
            </w:r>
            <w:r>
              <w:rPr>
                <w:lang w:val="en-US"/>
              </w:rPr>
              <w:t>mol</w:t>
            </w:r>
            <w:proofErr w:type="spellEnd"/>
          </w:p>
        </w:tc>
      </w:tr>
      <w:tr w:rsidR="00A73AFB" w:rsidTr="00A73AFB">
        <w:trPr>
          <w:cnfStyle w:val="000000100000"/>
          <w:jc w:val="center"/>
        </w:trPr>
        <w:tc>
          <w:tcPr>
            <w:cnfStyle w:val="001000000000"/>
            <w:tcW w:w="2303" w:type="dxa"/>
          </w:tcPr>
          <w:p w:rsidR="00A73AFB" w:rsidRPr="0089199D" w:rsidRDefault="00A73AFB" w:rsidP="00EB3E1B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b w:val="0"/>
                <w:color w:val="A6A6A6" w:themeColor="background1" w:themeShade="A6"/>
                <w:lang w:val="en-US"/>
              </w:rPr>
              <w:t>6</w:t>
            </w:r>
            <w:r w:rsidR="00EB3E1B" w:rsidRPr="0089199D">
              <w:rPr>
                <w:b w:val="0"/>
                <w:color w:val="A6A6A6" w:themeColor="background1" w:themeShade="A6"/>
                <w:lang w:val="en-US"/>
              </w:rPr>
              <w:t xml:space="preserve"> 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8</w:t>
            </w:r>
            <w:r w:rsidR="00EB3E1B" w:rsidRPr="0089199D">
              <w:rPr>
                <w:b w:val="0"/>
                <w:color w:val="A6A6A6" w:themeColor="background1" w:themeShade="A6"/>
                <w:lang w:val="en-US"/>
              </w:rPr>
              <w:t>00 000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 xml:space="preserve"> </w:t>
            </w:r>
            <w:r w:rsidR="00EB3E1B" w:rsidRPr="0089199D">
              <w:rPr>
                <w:b w:val="0"/>
                <w:color w:val="A6A6A6" w:themeColor="background1" w:themeShade="A6"/>
                <w:lang w:val="en-US"/>
              </w:rPr>
              <w:t>I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U</w:t>
            </w:r>
          </w:p>
        </w:tc>
        <w:tc>
          <w:tcPr>
            <w:tcW w:w="2303" w:type="dxa"/>
          </w:tcPr>
          <w:p w:rsidR="00A73AFB" w:rsidRPr="0089199D" w:rsidRDefault="00A73AFB" w:rsidP="00EB3E1B">
            <w:pPr>
              <w:jc w:val="center"/>
              <w:cnfStyle w:val="000000100000"/>
              <w:rPr>
                <w:color w:val="A6A6A6" w:themeColor="background1" w:themeShade="A6"/>
                <w:lang w:val="en-US"/>
              </w:rPr>
            </w:pPr>
            <w:r w:rsidRPr="0089199D">
              <w:rPr>
                <w:color w:val="A6A6A6" w:themeColor="background1" w:themeShade="A6"/>
                <w:lang w:val="en-US"/>
              </w:rPr>
              <w:t>1</w:t>
            </w:r>
            <w:r w:rsidR="00EB3E1B" w:rsidRPr="0089199D">
              <w:rPr>
                <w:color w:val="A6A6A6" w:themeColor="background1" w:themeShade="A6"/>
                <w:lang w:val="en-US"/>
              </w:rPr>
              <w:t xml:space="preserve"> </w:t>
            </w:r>
            <w:r w:rsidRPr="0089199D">
              <w:rPr>
                <w:color w:val="A6A6A6" w:themeColor="background1" w:themeShade="A6"/>
                <w:lang w:val="en-US"/>
              </w:rPr>
              <w:t>28</w:t>
            </w:r>
            <w:r w:rsidR="00EB3E1B" w:rsidRPr="0089199D">
              <w:rPr>
                <w:color w:val="A6A6A6" w:themeColor="background1" w:themeShade="A6"/>
                <w:lang w:val="en-US"/>
              </w:rPr>
              <w:t>0 000</w:t>
            </w:r>
            <w:r w:rsidRPr="0089199D">
              <w:rPr>
                <w:color w:val="A6A6A6" w:themeColor="background1" w:themeShade="A6"/>
                <w:lang w:val="en-US"/>
              </w:rPr>
              <w:t xml:space="preserve"> </w:t>
            </w:r>
            <w:r w:rsidR="00EB3E1B" w:rsidRPr="0089199D">
              <w:rPr>
                <w:color w:val="A6A6A6" w:themeColor="background1" w:themeShade="A6"/>
                <w:lang w:val="en-US"/>
              </w:rPr>
              <w:t>I</w:t>
            </w:r>
            <w:r w:rsidRPr="0089199D">
              <w:rPr>
                <w:color w:val="A6A6A6" w:themeColor="background1" w:themeShade="A6"/>
                <w:lang w:val="en-US"/>
              </w:rPr>
              <w:t>U</w:t>
            </w:r>
          </w:p>
        </w:tc>
        <w:tc>
          <w:tcPr>
            <w:tcW w:w="2303" w:type="dxa"/>
          </w:tcPr>
          <w:p w:rsidR="00A73AFB" w:rsidRPr="0089199D" w:rsidRDefault="00EB3E1B" w:rsidP="00A73AFB">
            <w:pPr>
              <w:jc w:val="center"/>
              <w:cnfStyle w:val="000000100000"/>
              <w:rPr>
                <w:color w:val="A6A6A6" w:themeColor="background1" w:themeShade="A6"/>
                <w:lang w:val="en-US"/>
              </w:rPr>
            </w:pPr>
            <w:r w:rsidRPr="0089199D">
              <w:rPr>
                <w:color w:val="A6A6A6" w:themeColor="background1" w:themeShade="A6"/>
                <w:lang w:val="en-US"/>
              </w:rPr>
              <w:t>12 000 IU</w:t>
            </w:r>
          </w:p>
        </w:tc>
      </w:tr>
    </w:tbl>
    <w:p w:rsidR="005C5E16" w:rsidRDefault="008C1654" w:rsidP="005C5E16">
      <w:pPr>
        <w:rPr>
          <w:lang w:val="en-US"/>
        </w:rPr>
      </w:pPr>
      <w:r>
        <w:rPr>
          <w:lang w:val="en-US"/>
        </w:rPr>
        <w:t xml:space="preserve">  </w:t>
      </w:r>
    </w:p>
    <w:p w:rsidR="003B275F" w:rsidRDefault="003B275F" w:rsidP="00BB257B">
      <w:pPr>
        <w:jc w:val="both"/>
        <w:rPr>
          <w:lang w:val="en-US"/>
        </w:rPr>
      </w:pPr>
      <w:r>
        <w:rPr>
          <w:lang w:val="en-US"/>
        </w:rPr>
        <w:t xml:space="preserve">Even the vasopressin inside cells is modeled using instances of chemical Substance </w:t>
      </w:r>
      <w:proofErr w:type="gramStart"/>
      <w:r>
        <w:rPr>
          <w:lang w:val="en-US"/>
        </w:rPr>
        <w:t>class,</w:t>
      </w:r>
      <w:proofErr w:type="gramEnd"/>
      <w:r>
        <w:rPr>
          <w:lang w:val="en-US"/>
        </w:rPr>
        <w:t xml:space="preserve"> the concentrations here do not have sense because ADH is transported by vesicles down the cell.</w:t>
      </w:r>
      <w:r w:rsidR="00BB257B">
        <w:rPr>
          <w:lang w:val="en-US"/>
        </w:rPr>
        <w:t xml:space="preserve"> The degradation is divided into liver, kidney and other tissue clearance.</w:t>
      </w:r>
    </w:p>
    <w:p w:rsidR="00FD6B18" w:rsidRDefault="00EB3E1B" w:rsidP="00EB3E1B">
      <w:pPr>
        <w:pStyle w:val="Nadpis1"/>
        <w:rPr>
          <w:lang w:val="en-US"/>
        </w:rPr>
      </w:pPr>
      <w:proofErr w:type="spellStart"/>
      <w:r>
        <w:rPr>
          <w:lang w:val="en-US"/>
        </w:rPr>
        <w:t>Renin</w:t>
      </w:r>
      <w:proofErr w:type="spellEnd"/>
    </w:p>
    <w:p w:rsidR="00462A25" w:rsidRDefault="00462A25" w:rsidP="00EB3E1B">
      <w:pPr>
        <w:rPr>
          <w:lang w:val="en-US"/>
        </w:rPr>
      </w:pPr>
      <w:r>
        <w:rPr>
          <w:lang w:val="en-US"/>
        </w:rPr>
        <w:t xml:space="preserve">Renin is an enzyme for conversion of Angiotensinogen to Angiotensin I. From </w:t>
      </w:r>
      <w:proofErr w:type="spellStart"/>
      <w:r>
        <w:rPr>
          <w:lang w:val="en-US"/>
        </w:rPr>
        <w:t>Michaelis-Menton</w:t>
      </w:r>
      <w:proofErr w:type="spellEnd"/>
      <w:r>
        <w:rPr>
          <w:lang w:val="en-US"/>
        </w:rPr>
        <w:t xml:space="preserve"> equation (Eq1) is known, that the rate of enzymatic chemical reaction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v</w:t>
      </w:r>
      <w:r>
        <w:rPr>
          <w:lang w:val="en-US"/>
        </w:rPr>
        <w:t xml:space="preserve"> is linearly proportional to the enzyme molar concentration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E</w:t>
      </w:r>
      <w:r w:rsidR="00755574">
        <w:rPr>
          <w:lang w:val="en-US"/>
        </w:rPr>
        <w:t xml:space="preserve"> at defined substrate concentration </w:t>
      </w:r>
      <w:r w:rsidR="00755574" w:rsidRPr="00755574">
        <w:rPr>
          <w:i/>
          <w:lang w:val="en-US"/>
        </w:rPr>
        <w:t>S</w:t>
      </w:r>
      <w:r>
        <w:rPr>
          <w:lang w:val="en-US"/>
        </w:rPr>
        <w:t xml:space="preserve">.  So instead the extremely small molar concentration it is wildly used </w:t>
      </w:r>
      <w:proofErr w:type="spellStart"/>
      <w:r w:rsidR="00560B41">
        <w:rPr>
          <w:lang w:val="en-US"/>
        </w:rPr>
        <w:t>Goldblatt</w:t>
      </w:r>
      <w:proofErr w:type="spellEnd"/>
      <w:r w:rsidR="00560B41">
        <w:rPr>
          <w:lang w:val="en-US"/>
        </w:rPr>
        <w:t xml:space="preserve"> unit </w:t>
      </w:r>
      <w:r w:rsidR="00DD7970">
        <w:rPr>
          <w:lang w:val="en-US"/>
        </w:rPr>
        <w:t xml:space="preserve">(GU) </w:t>
      </w:r>
      <w:r w:rsidR="00560B41">
        <w:rPr>
          <w:lang w:val="en-US"/>
        </w:rPr>
        <w:t>of Renin</w:t>
      </w:r>
      <w:r w:rsidR="00755574">
        <w:rPr>
          <w:lang w:val="en-US"/>
        </w:rPr>
        <w:t xml:space="preserve"> </w:t>
      </w:r>
      <w:r>
        <w:rPr>
          <w:lang w:val="en-US"/>
        </w:rPr>
        <w:t>, which is</w:t>
      </w:r>
      <w:r w:rsidR="00DD7970">
        <w:rPr>
          <w:lang w:val="en-US"/>
        </w:rPr>
        <w:t xml:space="preserve"> </w:t>
      </w:r>
      <w:r>
        <w:rPr>
          <w:lang w:val="en-US"/>
        </w:rPr>
        <w:t xml:space="preserve">equal to the </w:t>
      </w:r>
      <w:r w:rsidR="007F6ACF">
        <w:rPr>
          <w:lang w:val="en-US"/>
        </w:rPr>
        <w:t>reaction</w:t>
      </w:r>
      <w:r>
        <w:rPr>
          <w:lang w:val="en-US"/>
        </w:rPr>
        <w:t xml:space="preserve"> flow rate of </w:t>
      </w:r>
      <w:r w:rsidR="000F4278">
        <w:rPr>
          <w:lang w:val="en-US"/>
        </w:rPr>
        <w:t>one</w:t>
      </w:r>
      <w:r w:rsidR="00DD7970">
        <w:rPr>
          <w:lang w:val="en-US"/>
        </w:rPr>
        <w:t xml:space="preserve"> </w:t>
      </w:r>
      <w:proofErr w:type="spellStart"/>
      <w:r w:rsidR="00DD7970">
        <w:rPr>
          <w:lang w:val="en-US"/>
        </w:rPr>
        <w:t>ng</w:t>
      </w:r>
      <w:proofErr w:type="spellEnd"/>
      <w:r w:rsidR="00DD7970">
        <w:rPr>
          <w:lang w:val="en-US"/>
        </w:rPr>
        <w:t xml:space="preserve"> of </w:t>
      </w:r>
      <w:proofErr w:type="spellStart"/>
      <w:r w:rsidR="00DD7970">
        <w:rPr>
          <w:lang w:val="en-US"/>
        </w:rPr>
        <w:t>AngiotensinI</w:t>
      </w:r>
      <w:proofErr w:type="spellEnd"/>
      <w:r w:rsidR="00FF1862">
        <w:rPr>
          <w:lang w:val="en-US"/>
        </w:rPr>
        <w:t xml:space="preserve"> from one mg of Angiotensinogen</w:t>
      </w:r>
      <w:r>
        <w:rPr>
          <w:lang w:val="en-US"/>
        </w:rPr>
        <w:t xml:space="preserve"> p</w:t>
      </w:r>
      <w:r w:rsidR="00DD7970">
        <w:rPr>
          <w:lang w:val="en-US"/>
        </w:rPr>
        <w:t>e</w:t>
      </w:r>
      <w:r>
        <w:rPr>
          <w:lang w:val="en-US"/>
        </w:rPr>
        <w:t>r</w:t>
      </w:r>
      <w:r w:rsidR="00DD7970">
        <w:rPr>
          <w:lang w:val="en-US"/>
        </w:rPr>
        <w:t xml:space="preserve"> one hour (1 ng AI/h).</w:t>
      </w:r>
    </w:p>
    <w:p w:rsidR="007F6ACF" w:rsidRDefault="007F6ACF" w:rsidP="00EB3E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cat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</m:t>
              </m:r>
            </m:den>
          </m:f>
          <m:r>
            <w:rPr>
              <w:rFonts w:ascii="Cambria Math" w:hAnsi="Cambria Math"/>
              <w:lang w:val="en-US"/>
            </w:rPr>
            <m:t xml:space="preserve"> E</m:t>
          </m:r>
        </m:oMath>
      </m:oMathPara>
    </w:p>
    <w:p w:rsidR="00462A25" w:rsidRDefault="00462A25" w:rsidP="00EB3E1B">
      <w:pPr>
        <w:rPr>
          <w:lang w:val="en-US"/>
        </w:rPr>
      </w:pPr>
      <w:r>
        <w:rPr>
          <w:lang w:val="en-US"/>
        </w:rPr>
        <w:t xml:space="preserve">Molecular mass of </w:t>
      </w:r>
      <w:proofErr w:type="spellStart"/>
      <w:r>
        <w:rPr>
          <w:lang w:val="en-US"/>
        </w:rPr>
        <w:t>Renin</w:t>
      </w:r>
      <w:proofErr w:type="spellEnd"/>
      <w:r>
        <w:rPr>
          <w:lang w:val="en-US"/>
        </w:rPr>
        <w:t xml:space="preserve"> is 4</w:t>
      </w:r>
      <w:r w:rsidR="00406D23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</w:t>
      </w:r>
      <w:r w:rsidR="0016536E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&lt;EndNote&gt;&lt;Cite&gt;&lt;Author&gt;SEALEY&lt;/Author&gt;&lt;Year&gt;1980&lt;/Year&gt;&lt;RecNum&gt;87&lt;/RecNum&gt;&lt;DisplayText&gt;[2]&lt;/DisplayText&gt;&lt;record&gt;&lt;rec-number&gt;87&lt;/rec-number&gt;&lt;foreign-keys&gt;&lt;key app="EN" db-id="d0dwe9waf0pe0uepr2avvaz0x2f5sx9rw00x" timestamp="1407189916"&gt;87&lt;/key&gt;&lt;/foreign-keys&gt;&lt;ref-type name="Journal Article"&gt;17&lt;/ref-type&gt;&lt;contributors&gt;&lt;authors&gt;&lt;author&gt;SEALEY, JEAN E&lt;/author&gt;&lt;author&gt;ATLAS, STEVEN A&lt;/author&gt;&lt;author&gt;LARAGH, JOHN H&lt;/author&gt;&lt;/authors&gt;&lt;/contributors&gt;&lt;titles&gt;&lt;title&gt;Prorenin and Other Large Molecular Weight Forms of Renin*&lt;/title&gt;&lt;secondary-title&gt;Endocrine Reviews&lt;/secondary-title&gt;&lt;/titles&gt;&lt;periodical&gt;&lt;full-title&gt;Endocrine Reviews&lt;/full-title&gt;&lt;/periodical&gt;&lt;pages&gt;365-391&lt;/pages&gt;&lt;volume&gt;1&lt;/volume&gt;&lt;number&gt;4&lt;/number&gt;&lt;dates&gt;&lt;year&gt;1980&lt;/year&gt;&lt;/dates&gt;&lt;isbn&gt;0163-769X&lt;/isbn&gt;&lt;urls&gt;&lt;/urls&gt;&lt;/record&gt;&lt;/Cite&gt;&lt;/EndNote&gt;</w:instrText>
      </w:r>
      <w:r w:rsidR="0016536E">
        <w:rPr>
          <w:lang w:val="en-US"/>
        </w:rPr>
        <w:fldChar w:fldCharType="separate"/>
      </w:r>
      <w:r>
        <w:rPr>
          <w:noProof/>
          <w:lang w:val="en-US"/>
        </w:rPr>
        <w:t>[2]</w:t>
      </w:r>
      <w:r w:rsidR="0016536E">
        <w:rPr>
          <w:lang w:val="en-US"/>
        </w:rPr>
        <w:fldChar w:fldCharType="end"/>
      </w:r>
      <w:r>
        <w:rPr>
          <w:lang w:val="en-US"/>
        </w:rPr>
        <w:t>,</w:t>
      </w:r>
      <w:r w:rsidR="00224D58">
        <w:rPr>
          <w:lang w:val="en-US"/>
        </w:rPr>
        <w:t xml:space="preserve"> normal plasma concentration </w:t>
      </w:r>
      <w:r w:rsidR="00EC61BE">
        <w:rPr>
          <w:lang w:val="en-US"/>
        </w:rPr>
        <w:t xml:space="preserve">are written in table Tab2. </w:t>
      </w:r>
      <w:r w:rsidR="00EC41D3">
        <w:rPr>
          <w:lang w:val="en-US"/>
        </w:rPr>
        <w:t>We use t</w:t>
      </w:r>
      <w:r w:rsidR="0081736B">
        <w:rPr>
          <w:lang w:val="en-US"/>
        </w:rPr>
        <w:t xml:space="preserve">he conversion </w:t>
      </w:r>
      <w:r w:rsidR="00EC41D3">
        <w:rPr>
          <w:lang w:val="en-US"/>
        </w:rPr>
        <w:t xml:space="preserve">between </w:t>
      </w:r>
      <w:r w:rsidR="0081736B">
        <w:rPr>
          <w:lang w:val="en-US"/>
        </w:rPr>
        <w:t>renin activity</w:t>
      </w:r>
      <w:r w:rsidR="00EC61BE">
        <w:rPr>
          <w:lang w:val="en-US"/>
        </w:rPr>
        <w:t xml:space="preserve"> GU </w:t>
      </w:r>
      <w:r w:rsidR="00EC41D3">
        <w:rPr>
          <w:lang w:val="en-US"/>
        </w:rPr>
        <w:t>and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>international unit as</w:t>
      </w:r>
      <w:r w:rsidR="00EC61BE">
        <w:rPr>
          <w:lang w:val="en-US"/>
        </w:rPr>
        <w:t xml:space="preserve"> </w:t>
      </w:r>
      <w:r w:rsidR="00EC61BE" w:rsidRPr="0089199D">
        <w:rPr>
          <w:color w:val="A6A6A6" w:themeColor="background1" w:themeShade="A6"/>
          <w:lang w:val="en-US"/>
        </w:rPr>
        <w:t xml:space="preserve">11.2 </w:t>
      </w:r>
      <w:proofErr w:type="spellStart"/>
      <w:r w:rsidR="00EC61BE" w:rsidRPr="0089199D">
        <w:rPr>
          <w:color w:val="A6A6A6" w:themeColor="background1" w:themeShade="A6"/>
          <w:lang w:val="en-US"/>
        </w:rPr>
        <w:t>uIU</w:t>
      </w:r>
      <w:proofErr w:type="spellEnd"/>
      <w:r w:rsidR="00EC61BE" w:rsidRPr="0089199D">
        <w:rPr>
          <w:color w:val="A6A6A6" w:themeColor="background1" w:themeShade="A6"/>
          <w:lang w:val="en-US"/>
        </w:rPr>
        <w:t>/GU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 xml:space="preserve">and assumption that </w:t>
      </w:r>
      <w:r w:rsidR="00EC41D3" w:rsidRPr="0089199D">
        <w:rPr>
          <w:color w:val="A6A6A6" w:themeColor="background1" w:themeShade="A6"/>
          <w:lang w:val="en-US"/>
        </w:rPr>
        <w:t>1000 IU</w:t>
      </w:r>
      <w:r w:rsidR="0081736B" w:rsidRPr="0089199D">
        <w:rPr>
          <w:color w:val="A6A6A6" w:themeColor="background1" w:themeShade="A6"/>
          <w:lang w:val="en-US"/>
        </w:rPr>
        <w:t xml:space="preserve"> </w:t>
      </w:r>
      <w:r w:rsidR="00EC41D3" w:rsidRPr="0089199D">
        <w:rPr>
          <w:color w:val="A6A6A6" w:themeColor="background1" w:themeShade="A6"/>
          <w:lang w:val="en-US"/>
        </w:rPr>
        <w:t>are equal 0.6 mg</w:t>
      </w:r>
      <w:r w:rsidR="00EC41D3">
        <w:rPr>
          <w:lang w:val="en-US"/>
        </w:rPr>
        <w:t xml:space="preserve"> of renin as proposed Simon et al </w:t>
      </w:r>
      <w:r w:rsidR="0016536E">
        <w:rPr>
          <w:lang w:val="en-US"/>
        </w:rPr>
        <w:fldChar w:fldCharType="begin"/>
      </w:r>
      <w:r w:rsidR="00EC41D3">
        <w:rPr>
          <w:lang w:val="en-US"/>
        </w:rPr>
        <w:instrText xml:space="preserve"> ADDIN EN.CITE &lt;EndNote&gt;&lt;Cite&gt;&lt;Author&gt;Simon&lt;/Author&gt;&lt;Year&gt;1992&lt;/Year&gt;&lt;RecNum&gt;92&lt;/RecNum&gt;&lt;DisplayText&gt;[3]&lt;/DisplayText&gt;&lt;record&gt;&lt;rec-number&gt;92&lt;/rec-number&gt;&lt;foreign-keys&gt;&lt;key app="EN" db-id="d0dwe9waf0pe0uepr2avvaz0x2f5sx9rw00x" timestamp="1407232614"&gt;92&lt;/key&gt;&lt;/foreign-keys&gt;&lt;ref-type name="Journal Article"&gt;17&lt;/ref-type&gt;&lt;contributors&gt;&lt;authors&gt;&lt;author&gt;Simon, D&lt;/author&gt;&lt;author&gt;Hartmann, DJ&lt;/author&gt;&lt;author&gt;Badouaille, G&lt;/author&gt;&lt;author&gt;Caillot, G&lt;/author&gt;&lt;author&gt;Guyenne, TT&lt;/author&gt;&lt;author&gt;Corvol, P&lt;/author&gt;&lt;author&gt;Pau, B&lt;/author&gt;&lt;author&gt;Marchand, J&lt;/author&gt;&lt;/authors&gt;&lt;/contributors&gt;&lt;titles&gt;&lt;title&gt;Two-site direct immunoassay specific for active renin&lt;/title&gt;&lt;secondary-title&gt;Clinical chemistry&lt;/secondary-title&gt;&lt;/titles&gt;&lt;periodical&gt;&lt;full-title&gt;Clinical chemistry&lt;/full-title&gt;&lt;/periodical&gt;&lt;pages&gt;1959-1962&lt;/pages&gt;&lt;volume&gt;38&lt;/volume&gt;&lt;number&gt;10&lt;/number&gt;&lt;dates&gt;&lt;year&gt;1992&lt;/year&gt;&lt;/dates&gt;&lt;isbn&gt;0009-9147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EC41D3">
        <w:rPr>
          <w:noProof/>
          <w:lang w:val="en-US"/>
        </w:rPr>
        <w:t>[3]</w:t>
      </w:r>
      <w:r w:rsidR="0016536E">
        <w:rPr>
          <w:lang w:val="en-US"/>
        </w:rPr>
        <w:fldChar w:fldCharType="end"/>
      </w:r>
      <w:r w:rsidR="00EC41D3">
        <w:rPr>
          <w:lang w:val="en-US"/>
        </w:rPr>
        <w:t>.</w:t>
      </w:r>
      <w:r w:rsidR="0081736B">
        <w:rPr>
          <w:lang w:val="en-US"/>
        </w:rPr>
        <w:t xml:space="preserve"> Problem is, that the renin activity</w:t>
      </w:r>
      <w:r w:rsidR="00EC41D3">
        <w:rPr>
          <w:lang w:val="en-US"/>
        </w:rPr>
        <w:t xml:space="preserve"> (GU)</w:t>
      </w:r>
      <w:r w:rsidR="0081736B">
        <w:rPr>
          <w:lang w:val="en-US"/>
        </w:rPr>
        <w:t xml:space="preserve"> change with many other factors like acidity</w:t>
      </w:r>
      <w:r w:rsidR="00EC41D3">
        <w:rPr>
          <w:lang w:val="en-US"/>
        </w:rPr>
        <w:t xml:space="preserve"> </w:t>
      </w:r>
      <w:r w:rsidR="0016536E">
        <w:rPr>
          <w:lang w:val="en-US"/>
        </w:rPr>
        <w:fldChar w:fldCharType="begin"/>
      </w:r>
      <w:r w:rsidR="00EC41D3">
        <w:rPr>
          <w:lang w:val="en-US"/>
        </w:rPr>
        <w:instrText xml:space="preserve"> ADDIN EN.CITE &lt;EndNote&gt;&lt;Cite&gt;&lt;Author&gt;Guyene&lt;/Author&gt;&lt;Year&gt;1980&lt;/Year&gt;&lt;RecNum&gt;91&lt;/RecNum&gt;&lt;DisplayText&gt;[4]&lt;/DisplayText&gt;&lt;record&gt;&lt;rec-number&gt;91&lt;/rec-number&gt;&lt;foreign-keys&gt;&lt;key app="EN" db-id="d0dwe9waf0pe0uepr2avvaz0x2f5sx9rw00x" timestamp="1407195764"&gt;91&lt;/key&gt;&lt;/foreign-keys&gt;&lt;ref-type name="Journal Article"&gt;17&lt;/ref-type&gt;&lt;contributors&gt;&lt;authors&gt;&lt;author&gt;Guyene, TT&lt;/author&gt;&lt;author&gt;Galen, FRANCOIS X&lt;/author&gt;&lt;author&gt;Devaux, C&lt;/author&gt;&lt;author&gt;Corvol, PIERRE&lt;/author&gt;&lt;author&gt;Menard, JOEL&lt;/author&gt;&lt;/authors&gt;&lt;/contributors&gt;&lt;titles&gt;&lt;title&gt;Direct radioimmunoassay of human renin: comparison with renin activity in plasma and amniotic fluid&lt;/title&gt;&lt;secondary-title&gt;Hypertension&lt;/secondary-title&gt;&lt;/titles&gt;&lt;periodical&gt;&lt;full-title&gt;Hypertension&lt;/full-title&gt;&lt;/periodical&gt;&lt;pages&gt;465-470&lt;/pages&gt;&lt;volume&gt;2&lt;/volume&gt;&lt;number&gt;4&lt;/number&gt;&lt;dates&gt;&lt;year&gt;1980&lt;/year&gt;&lt;/dates&gt;&lt;isbn&gt;0194-911X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EC41D3">
        <w:rPr>
          <w:noProof/>
          <w:lang w:val="en-US"/>
        </w:rPr>
        <w:t>[4]</w:t>
      </w:r>
      <w:r w:rsidR="0016536E">
        <w:rPr>
          <w:lang w:val="en-US"/>
        </w:rPr>
        <w:fldChar w:fldCharType="end"/>
      </w:r>
      <w:r w:rsidR="0081736B">
        <w:rPr>
          <w:lang w:val="en-US"/>
        </w:rPr>
        <w:t xml:space="preserve"> or bounding of renin with other molecules. That means</w:t>
      </w:r>
      <w:r w:rsidR="0070162A">
        <w:rPr>
          <w:lang w:val="en-US"/>
        </w:rPr>
        <w:t xml:space="preserve"> </w:t>
      </w:r>
      <w:r w:rsidR="00036651">
        <w:rPr>
          <w:lang w:val="en-US"/>
        </w:rPr>
        <w:t>problem with</w:t>
      </w:r>
      <w:r w:rsidR="0070162A">
        <w:rPr>
          <w:lang w:val="en-US"/>
        </w:rPr>
        <w:t xml:space="preserve"> GU</w:t>
      </w:r>
      <w:r w:rsidR="00036651">
        <w:rPr>
          <w:lang w:val="en-US"/>
        </w:rPr>
        <w:t xml:space="preserve"> definition</w:t>
      </w:r>
      <w:r w:rsidR="0070162A">
        <w:rPr>
          <w:lang w:val="en-US"/>
        </w:rPr>
        <w:t>, which may differs from research to research.</w:t>
      </w:r>
      <w:r w:rsidR="00755574">
        <w:rPr>
          <w:lang w:val="en-US"/>
        </w:rPr>
        <w:t xml:space="preserve"> Therefore the GU unit is</w:t>
      </w:r>
      <w:r w:rsidR="00036651">
        <w:rPr>
          <w:lang w:val="en-US"/>
        </w:rPr>
        <w:t xml:space="preserve"> more like</w:t>
      </w:r>
      <w:r w:rsidR="00755574">
        <w:rPr>
          <w:lang w:val="en-US"/>
        </w:rPr>
        <w:t xml:space="preserve"> unit for angiotensin I synthesis rate, not the right unit for renin amount.</w:t>
      </w:r>
    </w:p>
    <w:tbl>
      <w:tblPr>
        <w:tblStyle w:val="ListTable3"/>
        <w:tblW w:w="0" w:type="auto"/>
        <w:tblInd w:w="1242" w:type="dxa"/>
        <w:tblLook w:val="04A0"/>
      </w:tblPr>
      <w:tblGrid>
        <w:gridCol w:w="2127"/>
        <w:gridCol w:w="2409"/>
        <w:gridCol w:w="2268"/>
      </w:tblGrid>
      <w:tr w:rsidR="00EC61BE" w:rsidTr="0089199D">
        <w:trPr>
          <w:cnfStyle w:val="100000000000"/>
        </w:trPr>
        <w:tc>
          <w:tcPr>
            <w:cnfStyle w:val="001000000100"/>
            <w:tcW w:w="2127" w:type="dxa"/>
          </w:tcPr>
          <w:p w:rsidR="00EC61BE" w:rsidRDefault="00EC61BE" w:rsidP="00891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Lower limit</w:t>
            </w:r>
          </w:p>
        </w:tc>
        <w:tc>
          <w:tcPr>
            <w:tcW w:w="2409" w:type="dxa"/>
          </w:tcPr>
          <w:p w:rsidR="00EC61BE" w:rsidRDefault="00EC61BE" w:rsidP="0089199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Upper limit</w:t>
            </w:r>
          </w:p>
        </w:tc>
        <w:tc>
          <w:tcPr>
            <w:tcW w:w="2268" w:type="dxa"/>
          </w:tcPr>
          <w:p w:rsidR="00EC61BE" w:rsidRDefault="00EC61BE" w:rsidP="0089199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EC61BE" w:rsidTr="0089199D">
        <w:trPr>
          <w:cnfStyle w:val="000000100000"/>
        </w:trPr>
        <w:tc>
          <w:tcPr>
            <w:cnfStyle w:val="00100000000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0.29</w:t>
            </w:r>
            <w:r w:rsidR="00036651"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 xml:space="preserve"> </w:t>
            </w: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GU/</w:t>
            </w:r>
            <w:proofErr w:type="spellStart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10000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5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.7</w:t>
            </w:r>
            <w:r w:rsidR="00EC61BE" w:rsidRPr="0089199D">
              <w:rPr>
                <w:rFonts w:cs="Arial"/>
                <w:color w:val="A6A6A6" w:themeColor="background1" w:themeShade="A6"/>
                <w:shd w:val="clear" w:color="auto" w:fill="F9F9F9"/>
              </w:rPr>
              <w:t xml:space="preserve"> 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GU/</w:t>
            </w:r>
            <w:proofErr w:type="spellStart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100000"/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2 GU/</w:t>
            </w:r>
            <w:proofErr w:type="spellStart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</w:tr>
      <w:tr w:rsidR="00EC61BE" w:rsidTr="0089199D">
        <w:tc>
          <w:tcPr>
            <w:cnfStyle w:val="00100000000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A95DB6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>3.3</w:t>
            </w:r>
            <w:r w:rsidR="00036651" w:rsidRPr="0089199D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 xml:space="preserve"> </w:t>
            </w:r>
            <w:proofErr w:type="spellStart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μIU</w:t>
            </w:r>
            <w:proofErr w:type="spellEnd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00000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63.8 </w:t>
            </w:r>
            <w:proofErr w:type="spellStart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μIU</w:t>
            </w:r>
            <w:proofErr w:type="spellEnd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000000"/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22.4 </w:t>
            </w:r>
            <w:proofErr w:type="spellStart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μIU</w:t>
            </w:r>
            <w:proofErr w:type="spellEnd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</w:tr>
      <w:tr w:rsidR="00EC61BE" w:rsidTr="0089199D">
        <w:trPr>
          <w:cnfStyle w:val="000000100000"/>
        </w:trPr>
        <w:tc>
          <w:tcPr>
            <w:cnfStyle w:val="00100000000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2</w:t>
            </w:r>
            <w:r w:rsidR="00036651">
              <w:rPr>
                <w:b w:val="0"/>
                <w:lang w:val="en-US"/>
              </w:rPr>
              <w:t xml:space="preserve"> </w:t>
            </w:r>
            <w:r w:rsidRPr="00036651">
              <w:rPr>
                <w:b w:val="0"/>
                <w:lang w:val="en-US"/>
              </w:rPr>
              <w:t>ng/L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38.3</w:t>
            </w:r>
            <w:r w:rsidR="00EC61BE" w:rsidRPr="00036651">
              <w:rPr>
                <w:lang w:val="en-US"/>
              </w:rPr>
              <w:t xml:space="preserve"> ng/l</w:t>
            </w:r>
          </w:p>
        </w:tc>
        <w:tc>
          <w:tcPr>
            <w:tcW w:w="2268" w:type="dxa"/>
          </w:tcPr>
          <w:p w:rsidR="00EC61BE" w:rsidRPr="00036651" w:rsidRDefault="00EC61BE" w:rsidP="0089199D">
            <w:pPr>
              <w:jc w:val="center"/>
              <w:cnfStyle w:val="000000100000"/>
              <w:rPr>
                <w:lang w:val="en-US"/>
              </w:rPr>
            </w:pPr>
            <w:r w:rsidRPr="00036651">
              <w:rPr>
                <w:lang w:val="en-US"/>
              </w:rPr>
              <w:t>13.4 ng/L</w:t>
            </w:r>
          </w:p>
        </w:tc>
      </w:tr>
      <w:tr w:rsidR="00EC61BE" w:rsidTr="0089199D">
        <w:tc>
          <w:tcPr>
            <w:cnfStyle w:val="00100000000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0.04</w:t>
            </w:r>
            <w:r w:rsidR="00036651">
              <w:rPr>
                <w:b w:val="0"/>
                <w:lang w:val="en-US"/>
              </w:rPr>
              <w:t xml:space="preserve"> </w:t>
            </w:r>
            <w:proofErr w:type="spellStart"/>
            <w:r w:rsidRPr="00036651">
              <w:rPr>
                <w:b w:val="0"/>
                <w:lang w:val="en-US"/>
              </w:rPr>
              <w:t>pmol</w:t>
            </w:r>
            <w:proofErr w:type="spellEnd"/>
            <w:r w:rsidRPr="00036651">
              <w:rPr>
                <w:b w:val="0"/>
                <w:lang w:val="en-US"/>
              </w:rPr>
              <w:t>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EC61BE" w:rsidRPr="00036651">
              <w:rPr>
                <w:lang w:val="en-US"/>
              </w:rPr>
              <w:t xml:space="preserve"> </w:t>
            </w:r>
            <w:proofErr w:type="spellStart"/>
            <w:r w:rsidR="00EC61BE" w:rsidRPr="00036651">
              <w:rPr>
                <w:lang w:val="en-US"/>
              </w:rPr>
              <w:t>pmol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EC61BE" w:rsidRPr="00036651" w:rsidRDefault="00EC61BE" w:rsidP="0089199D">
            <w:pPr>
              <w:jc w:val="center"/>
              <w:cnfStyle w:val="000000000000"/>
              <w:rPr>
                <w:lang w:val="en-US"/>
              </w:rPr>
            </w:pPr>
            <w:r w:rsidRPr="00036651">
              <w:rPr>
                <w:lang w:val="en-US"/>
              </w:rPr>
              <w:t xml:space="preserve">0.28 </w:t>
            </w:r>
            <w:proofErr w:type="spellStart"/>
            <w:r w:rsidRPr="00036651">
              <w:rPr>
                <w:lang w:val="en-US"/>
              </w:rPr>
              <w:t>pmol</w:t>
            </w:r>
            <w:proofErr w:type="spellEnd"/>
            <w:r w:rsidRPr="00036651">
              <w:rPr>
                <w:lang w:val="en-US"/>
              </w:rPr>
              <w:t>/L</w:t>
            </w:r>
          </w:p>
        </w:tc>
      </w:tr>
    </w:tbl>
    <w:p w:rsidR="00A95DB6" w:rsidRDefault="00A95DB6" w:rsidP="00EB3E1B">
      <w:pPr>
        <w:rPr>
          <w:lang w:val="en-US"/>
        </w:rPr>
      </w:pPr>
    </w:p>
    <w:p w:rsidR="00EC41D3" w:rsidRPr="00EC41D3" w:rsidRDefault="0016536E" w:rsidP="00EC41D3">
      <w:pPr>
        <w:pStyle w:val="EndNoteBibliography"/>
        <w:spacing w:after="0"/>
      </w:pPr>
      <w:r w:rsidRPr="0016536E">
        <w:fldChar w:fldCharType="begin"/>
      </w:r>
      <w:r w:rsidR="005C5E16">
        <w:instrText xml:space="preserve"> ADDIN EN.REFLIST </w:instrText>
      </w:r>
      <w:r w:rsidRPr="0016536E">
        <w:fldChar w:fldCharType="separate"/>
      </w:r>
      <w:r w:rsidR="00EC41D3" w:rsidRPr="00EC41D3">
        <w:t>[1] Thrasher TN, Chen H-G, Keil LC. Arterial baroreceptors control plasma vasopressin responses to graded hypotension in conscious dogs. American Journal of Physiology-Regulatory, Integrative and Comparative Physiology 2000;278:R469-R75.</w:t>
      </w:r>
    </w:p>
    <w:p w:rsidR="00EC41D3" w:rsidRPr="00EC41D3" w:rsidRDefault="00EC41D3" w:rsidP="00EC41D3">
      <w:pPr>
        <w:pStyle w:val="EndNoteBibliography"/>
        <w:spacing w:after="0"/>
      </w:pPr>
      <w:r w:rsidRPr="00EC41D3">
        <w:t>[2] SEALEY JE, ATLAS SA, LARAGH JH. Prorenin and Other Large Molecular Weight Forms of Renin*. Endocrine Reviews 1980;1:365-91.</w:t>
      </w:r>
    </w:p>
    <w:p w:rsidR="00EC41D3" w:rsidRPr="00EC41D3" w:rsidRDefault="00EC41D3" w:rsidP="00EC41D3">
      <w:pPr>
        <w:pStyle w:val="EndNoteBibliography"/>
        <w:spacing w:after="0"/>
      </w:pPr>
      <w:r w:rsidRPr="00EC41D3">
        <w:t>[3] Simon D, Hartmann D, Badouaille G, Caillot G, Guyenne T, Corvol P, Pau B, Marchand J. Two-site direct immunoassay specific for active renin. Clinical chemistry 1992;38:1959-62.</w:t>
      </w:r>
    </w:p>
    <w:p w:rsidR="00EC41D3" w:rsidRPr="00EC41D3" w:rsidRDefault="00EC41D3" w:rsidP="00EC41D3">
      <w:pPr>
        <w:pStyle w:val="EndNoteBibliography"/>
      </w:pPr>
      <w:r w:rsidRPr="00EC41D3">
        <w:t>[4] Guyene T, Galen FX, Devaux C, Corvol P, Menard J. Direct radioimmunoassay of human renin: comparison with renin activity in plasma and amniotic fluid. Hypertension 1980;2:465-70.</w:t>
      </w:r>
    </w:p>
    <w:p w:rsidR="005C5E16" w:rsidRDefault="0016536E" w:rsidP="005C5E16">
      <w:pPr>
        <w:rPr>
          <w:lang w:val="en-US"/>
        </w:rPr>
      </w:pPr>
      <w:r>
        <w:rPr>
          <w:lang w:val="en-US"/>
        </w:rPr>
        <w:fldChar w:fldCharType="end"/>
      </w:r>
      <w:r w:rsidR="00036651">
        <w:rPr>
          <w:lang w:val="en-US"/>
        </w:rPr>
        <w:t>(</w:t>
      </w:r>
      <w:r w:rsidR="00036651" w:rsidRPr="00036651">
        <w:rPr>
          <w:lang w:val="en-US"/>
        </w:rPr>
        <w:t>http://europepmc.org/abstract/MED/2856717</w:t>
      </w:r>
      <w:r w:rsidR="00036651">
        <w:rPr>
          <w:lang w:val="en-US"/>
        </w:rPr>
        <w:t>)</w:t>
      </w:r>
    </w:p>
    <w:p w:rsidR="00224D58" w:rsidRDefault="00224D58" w:rsidP="00224D58">
      <w:pPr>
        <w:pStyle w:val="Nadpis1"/>
        <w:rPr>
          <w:lang w:val="en-US"/>
        </w:rPr>
      </w:pPr>
      <w:r>
        <w:rPr>
          <w:lang w:val="en-US"/>
        </w:rPr>
        <w:lastRenderedPageBreak/>
        <w:t>Insulin</w:t>
      </w:r>
    </w:p>
    <w:p w:rsidR="00224D58" w:rsidRDefault="00224D58" w:rsidP="00224D5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B91E83">
        <w:rPr>
          <w:lang w:val="en-US"/>
        </w:rPr>
        <w:t>Insulin is one of the most studies hormone. First standard international unit of insulin from year 1958 has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41.67ug/IU </w:t>
      </w:r>
      <w:proofErr w:type="gramStart"/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gramEnd"/>
      <w:hyperlink r:id="rId5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http://whqlibdoc.who.int/trs/WHO_TRS_172.pdf</w:t>
        </w:r>
      </w:hyperlink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, page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10), the last discontinued definition from year 1986 has 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38.46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ug/IU ( </w:t>
      </w:r>
      <w:hyperlink r:id="rId6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http://whqlibdoc.who.int/trs/WHO_TRS_760_(part1).pdf?ua=1</w:t>
        </w:r>
      </w:hyperlink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 , 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page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26)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Using molar mass of 5808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it is possible to write also conversion such as 6.621pmol/IU.</w:t>
      </w:r>
    </w:p>
    <w:p w:rsidR="00B91E83" w:rsidRDefault="00B91E83" w:rsidP="00224D58">
      <w:pPr>
        <w:rPr>
          <w:lang w:val="en-US"/>
        </w:rPr>
      </w:pPr>
      <w:bookmarkStart w:id="0" w:name="_GoBack"/>
      <w:bookmarkEnd w:id="0"/>
    </w:p>
    <w:p w:rsidR="0070162A" w:rsidRDefault="0070162A" w:rsidP="00224D58">
      <w:pPr>
        <w:rPr>
          <w:lang w:val="en-US"/>
        </w:rPr>
      </w:pPr>
    </w:p>
    <w:p w:rsidR="0070162A" w:rsidRDefault="0070162A" w:rsidP="0070162A">
      <w:pPr>
        <w:rPr>
          <w:lang w:val="en-US"/>
        </w:rPr>
      </w:pPr>
      <w:r>
        <w:rPr>
          <w:lang w:val="en-US"/>
        </w:rPr>
        <w:t xml:space="preserve">Because molar mass of </w:t>
      </w:r>
      <w:proofErr w:type="spellStart"/>
      <w:r>
        <w:rPr>
          <w:lang w:val="en-US"/>
        </w:rPr>
        <w:t>Angiotensingen</w:t>
      </w:r>
      <w:proofErr w:type="spellEnd"/>
      <w:r>
        <w:rPr>
          <w:lang w:val="en-US"/>
        </w:rPr>
        <w:t xml:space="preserve"> is 56.8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and molar mass of Angiotensin 1 is 0.9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>.</w:t>
      </w:r>
    </w:p>
    <w:p w:rsidR="0070162A" w:rsidRPr="00B91E83" w:rsidRDefault="0070162A" w:rsidP="00224D58">
      <w:pPr>
        <w:rPr>
          <w:lang w:val="en-US"/>
        </w:rPr>
      </w:pPr>
    </w:p>
    <w:sectPr w:rsidR="0070162A" w:rsidRPr="00B91E83" w:rsidSect="00EE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dwe9waf0pe0uepr2avvaz0x2f5sx9rw00x&quot;&gt;Modeling&lt;record-ids&gt;&lt;item&gt;86&lt;/item&gt;&lt;item&gt;87&lt;/item&gt;&lt;item&gt;91&lt;/item&gt;&lt;item&gt;92&lt;/item&gt;&lt;/record-ids&gt;&lt;/item&gt;&lt;/Libraries&gt;"/>
  </w:docVars>
  <w:rsids>
    <w:rsidRoot w:val="00FD6B18"/>
    <w:rsid w:val="00036651"/>
    <w:rsid w:val="000F4278"/>
    <w:rsid w:val="0016536E"/>
    <w:rsid w:val="00224D58"/>
    <w:rsid w:val="002E02DA"/>
    <w:rsid w:val="00345BCD"/>
    <w:rsid w:val="003B275F"/>
    <w:rsid w:val="00406D23"/>
    <w:rsid w:val="00407B1D"/>
    <w:rsid w:val="00462A25"/>
    <w:rsid w:val="004A6801"/>
    <w:rsid w:val="004B605F"/>
    <w:rsid w:val="00560B41"/>
    <w:rsid w:val="005824EA"/>
    <w:rsid w:val="005C5E16"/>
    <w:rsid w:val="005E0B20"/>
    <w:rsid w:val="006934AA"/>
    <w:rsid w:val="006D4A20"/>
    <w:rsid w:val="0070162A"/>
    <w:rsid w:val="00755574"/>
    <w:rsid w:val="007F6ACF"/>
    <w:rsid w:val="0081736B"/>
    <w:rsid w:val="0089199D"/>
    <w:rsid w:val="008C1654"/>
    <w:rsid w:val="00974221"/>
    <w:rsid w:val="00A73AFB"/>
    <w:rsid w:val="00A95DB6"/>
    <w:rsid w:val="00B1064D"/>
    <w:rsid w:val="00B91E83"/>
    <w:rsid w:val="00BB257B"/>
    <w:rsid w:val="00CC38AC"/>
    <w:rsid w:val="00DD7970"/>
    <w:rsid w:val="00E168CE"/>
    <w:rsid w:val="00EA3400"/>
    <w:rsid w:val="00EA4394"/>
    <w:rsid w:val="00EB3E1B"/>
    <w:rsid w:val="00EC41D3"/>
    <w:rsid w:val="00EC61BE"/>
    <w:rsid w:val="00EE0C9E"/>
    <w:rsid w:val="00FD6B18"/>
    <w:rsid w:val="00FF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0C9E"/>
  </w:style>
  <w:style w:type="paragraph" w:styleId="Nadpis1">
    <w:name w:val="heading 1"/>
    <w:basedOn w:val="Normln"/>
    <w:next w:val="Normln"/>
    <w:link w:val="Nadpis1Char"/>
    <w:uiPriority w:val="9"/>
    <w:qFormat/>
    <w:rsid w:val="00FD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69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ln"/>
    <w:link w:val="EndNoteBibliographyTitleChar"/>
    <w:rsid w:val="00B1064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B1064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B1064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B1064D"/>
    <w:rPr>
      <w:rFonts w:ascii="Calibri" w:hAnsi="Calibri"/>
      <w:noProof/>
      <w:lang w:val="en-US"/>
    </w:rPr>
  </w:style>
  <w:style w:type="table" w:styleId="Svtlseznam">
    <w:name w:val="Light List"/>
    <w:basedOn w:val="Normlntabulka"/>
    <w:uiPriority w:val="61"/>
    <w:rsid w:val="00A73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Standardnpsmoodstavce"/>
    <w:rsid w:val="00224D58"/>
  </w:style>
  <w:style w:type="character" w:styleId="Hypertextovodkaz">
    <w:name w:val="Hyperlink"/>
    <w:basedOn w:val="Standardnpsmoodstavce"/>
    <w:uiPriority w:val="99"/>
    <w:semiHidden/>
    <w:unhideWhenUsed/>
    <w:rsid w:val="00224D58"/>
    <w:rPr>
      <w:color w:val="0000FF"/>
      <w:u w:val="single"/>
    </w:rPr>
  </w:style>
  <w:style w:type="character" w:styleId="Zstupntext">
    <w:name w:val="Placeholder Text"/>
    <w:basedOn w:val="Standardnpsmoodstavce"/>
    <w:uiPriority w:val="99"/>
    <w:semiHidden/>
    <w:rsid w:val="007F6ACF"/>
    <w:rPr>
      <w:color w:val="808080"/>
    </w:rPr>
  </w:style>
  <w:style w:type="table" w:customStyle="1" w:styleId="ListTable3">
    <w:name w:val="List Table 3"/>
    <w:basedOn w:val="Normlntabulka"/>
    <w:uiPriority w:val="48"/>
    <w:rsid w:val="00036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qlibdoc.who.int/trs/WHO_TRS_760_(part1).pdf?ua=1" TargetMode="External"/><Relationship Id="rId5" Type="http://schemas.openxmlformats.org/officeDocument/2006/relationships/hyperlink" Target="http://whqlibdoc.who.int/trs/WHO_TRS_17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1143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5</cp:revision>
  <dcterms:created xsi:type="dcterms:W3CDTF">2014-08-04T10:17:00Z</dcterms:created>
  <dcterms:modified xsi:type="dcterms:W3CDTF">2014-08-05T13:56:00Z</dcterms:modified>
</cp:coreProperties>
</file>