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7" w:type="pct"/>
        <w:tblCellMar>
          <w:left w:w="115" w:type="dxa"/>
          <w:right w:w="0" w:type="dxa"/>
        </w:tblCellMar>
        <w:tblLook w:val="0420" w:firstRow="1" w:lastRow="0" w:firstColumn="0" w:lastColumn="0" w:noHBand="0" w:noVBand="1"/>
      </w:tblPr>
      <w:tblGrid>
        <w:gridCol w:w="1864"/>
        <w:gridCol w:w="1545"/>
        <w:gridCol w:w="1621"/>
        <w:gridCol w:w="2337"/>
        <w:gridCol w:w="1893"/>
      </w:tblGrid>
      <w:tr w:rsidR="005E574D" w:rsidRPr="000E73B9" w14:paraId="0C66D3DF" w14:textId="70E01E52" w:rsidTr="00CB2667">
        <w:trPr>
          <w:trHeight w:val="20"/>
        </w:trPr>
        <w:tc>
          <w:tcPr>
            <w:tcW w:w="5000" w:type="pct"/>
            <w:gridSpan w:val="5"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81251" w14:textId="1DBCD225" w:rsidR="005E574D" w:rsidRPr="000E73B9" w:rsidRDefault="005E574D" w:rsidP="006F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Table 2.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Genome size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,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chromosome number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, and ploidy level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data for 13 </w:t>
            </w:r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Scutellaria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species. Genome sizes for 8 species were measured in this study using flow cytometry. Other genome size, and all chromosome number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and ploidy level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data 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was</w:t>
            </w:r>
            <w:proofErr w:type="gramEnd"/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collected from literature. </w:t>
            </w:r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>wrightii</w:t>
            </w:r>
            <w:proofErr w:type="spellEnd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and </w:t>
            </w:r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>suffrutescens</w:t>
            </w:r>
            <w:proofErr w:type="spellEnd"/>
            <w:r w:rsidRPr="000E73B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2"/>
                <w:szCs w:val="12"/>
              </w:rPr>
              <w:t xml:space="preserve">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were not included in the flow cytometry procedure, and 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genome size,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chromosome </w:t>
            </w:r>
            <w:r w:rsidR="00D920E9"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number, nor ploidy level data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 has been published. Cell colors indicate phylogenetic clade, as shown in Fig</w:t>
            </w:r>
            <w:r w:rsidR="00FF3DE7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. </w:t>
            </w: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 xml:space="preserve">1. </w:t>
            </w:r>
          </w:p>
        </w:tc>
      </w:tr>
      <w:tr w:rsidR="000E73B9" w:rsidRPr="000E73B9" w14:paraId="1B7796DA" w14:textId="27E3A83C" w:rsidTr="00B3283F">
        <w:trPr>
          <w:trHeight w:val="20"/>
        </w:trPr>
        <w:tc>
          <w:tcPr>
            <w:tcW w:w="1007" w:type="pct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DF2CC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Species</w:t>
            </w:r>
          </w:p>
        </w:tc>
        <w:tc>
          <w:tcPr>
            <w:tcW w:w="1709" w:type="pct"/>
            <w:gridSpan w:val="2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07C91" w14:textId="656350D2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Estimated genome size (</w:t>
            </w:r>
            <w:proofErr w:type="spellStart"/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Gbp</w:t>
            </w:r>
            <w:proofErr w:type="spellEnd"/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)</w:t>
            </w:r>
          </w:p>
        </w:tc>
        <w:tc>
          <w:tcPr>
            <w:tcW w:w="1262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FAAFF" w14:textId="5F658268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Chromosome number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63B9D478" w14:textId="58BE708E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2"/>
                <w:szCs w:val="12"/>
              </w:rPr>
              <w:t>Ploidy level</w:t>
            </w:r>
          </w:p>
        </w:tc>
      </w:tr>
      <w:tr w:rsidR="000E73B9" w:rsidRPr="000E73B9" w14:paraId="472FA826" w14:textId="6B18F527" w:rsidTr="00B3283F">
        <w:trPr>
          <w:trHeight w:val="20"/>
        </w:trPr>
        <w:tc>
          <w:tcPr>
            <w:tcW w:w="1007" w:type="pct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5E2EA4F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34" w:type="pct"/>
            <w:tcBorders>
              <w:top w:val="nil"/>
              <w:left w:val="single" w:sz="24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43AC9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Measured in this study</w:t>
            </w:r>
          </w:p>
        </w:tc>
        <w:tc>
          <w:tcPr>
            <w:tcW w:w="875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2140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Published previously</w:t>
            </w:r>
          </w:p>
        </w:tc>
        <w:tc>
          <w:tcPr>
            <w:tcW w:w="1262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D13D99" w14:textId="3738CEA2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Published previously</w:t>
            </w:r>
          </w:p>
        </w:tc>
        <w:tc>
          <w:tcPr>
            <w:tcW w:w="1022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14:paraId="3781D925" w14:textId="147C450A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text1"/>
                <w:kern w:val="24"/>
                <w:sz w:val="12"/>
                <w:szCs w:val="12"/>
              </w:rPr>
              <w:t>Published previously</w:t>
            </w:r>
          </w:p>
        </w:tc>
      </w:tr>
      <w:tr w:rsidR="000E73B9" w:rsidRPr="000E73B9" w14:paraId="0D94844C" w14:textId="0B744393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8056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insignis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508C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DAC0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0.46 (Lee &amp; Kim, 2017)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67A88E" w14:textId="5B580D21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26 (Lee, 1967)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vAlign w:val="center"/>
          </w:tcPr>
          <w:p w14:paraId="06511DCC" w14:textId="20991CEA" w:rsidR="005E574D" w:rsidRPr="000E73B9" w:rsidRDefault="00C921FC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 (Lee, 1967)</w:t>
            </w:r>
          </w:p>
        </w:tc>
      </w:tr>
      <w:tr w:rsidR="000E73B9" w:rsidRPr="000E73B9" w14:paraId="2A162E7F" w14:textId="70F0C1D8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41C1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indica var. coccinea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69F4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AA645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(Lee &amp; Kim, 2017)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6C28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vAlign w:val="center"/>
          </w:tcPr>
          <w:p w14:paraId="5F49782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5F126F5C" w14:textId="20932D3D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2940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barbata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4E15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0.52 ± 0.03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5FE4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0.35 (Xu et al., 2020)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F3B7D" w14:textId="195BEB8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26 (Xu et al., 2020)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vAlign w:val="center"/>
          </w:tcPr>
          <w:p w14:paraId="493B320F" w14:textId="6E3CA935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 (Hsieh &amp; Huang, 1995)</w:t>
            </w:r>
          </w:p>
        </w:tc>
      </w:tr>
      <w:tr w:rsidR="000E73B9" w:rsidRPr="000E73B9" w14:paraId="1CDAD883" w14:textId="7EFC4C6D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71594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racemosa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3C3F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0.44 ± 0.03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144C7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0.37 (Cole et al., 2008)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C60853" w14:textId="7667693D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18 (Cole et al., 2008)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vAlign w:val="center"/>
          </w:tcPr>
          <w:p w14:paraId="300CEFC7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</w:p>
        </w:tc>
      </w:tr>
      <w:tr w:rsidR="000E73B9" w:rsidRPr="000E73B9" w14:paraId="0A15FA45" w14:textId="7B577AA2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0CDD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strigillosa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D4958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7A3F2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(Lee &amp; Kim, 2017)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1922F1" w14:textId="548C97FE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32 (</w:t>
            </w:r>
            <w:r w:rsidR="00CB2667">
              <w:rPr>
                <w:rFonts w:ascii="Arial" w:eastAsia="Times New Roman" w:hAnsi="Arial" w:cs="Arial"/>
                <w:sz w:val="12"/>
                <w:szCs w:val="12"/>
              </w:rPr>
              <w:t>Ranjbar &amp; Mahmoudi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, </w:t>
            </w:r>
            <w:r w:rsidR="00CB2667">
              <w:rPr>
                <w:rFonts w:ascii="Arial" w:eastAsia="Times New Roman" w:hAnsi="Arial" w:cs="Arial"/>
                <w:sz w:val="12"/>
                <w:szCs w:val="12"/>
              </w:rPr>
              <w:t>2013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vAlign w:val="center"/>
          </w:tcPr>
          <w:p w14:paraId="660894C8" w14:textId="33DD86E4" w:rsidR="006B3FD4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4 (</w:t>
            </w:r>
            <w:r w:rsidR="00CB2667">
              <w:rPr>
                <w:rFonts w:ascii="Arial" w:eastAsia="Times New Roman" w:hAnsi="Arial" w:cs="Arial"/>
                <w:sz w:val="12"/>
                <w:szCs w:val="12"/>
              </w:rPr>
              <w:t>Ranjbar &amp; Mahmoudi</w:t>
            </w:r>
            <w:r w:rsidR="00CB2667"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, </w:t>
            </w:r>
            <w:r w:rsidR="00CB2667">
              <w:rPr>
                <w:rFonts w:ascii="Arial" w:eastAsia="Times New Roman" w:hAnsi="Arial" w:cs="Arial"/>
                <w:sz w:val="12"/>
                <w:szCs w:val="12"/>
              </w:rPr>
              <w:t>2013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</w:tr>
      <w:tr w:rsidR="000E73B9" w:rsidRPr="000E73B9" w14:paraId="14458ABC" w14:textId="7240A747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EE6D0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dependens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96074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0.44 ± 0.01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60009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4FE5C" w14:textId="0E1357E2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28 (</w:t>
            </w:r>
            <w:r w:rsidR="008718B4">
              <w:rPr>
                <w:rFonts w:ascii="Arial" w:eastAsia="Times New Roman" w:hAnsi="Arial" w:cs="Arial"/>
                <w:sz w:val="12"/>
                <w:szCs w:val="12"/>
              </w:rPr>
              <w:t>Takashi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 et al., 2003)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DDB5"/>
            <w:vAlign w:val="center"/>
          </w:tcPr>
          <w:p w14:paraId="355E3AD7" w14:textId="3CA1F1FF" w:rsidR="006B3FD4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4 (</w:t>
            </w:r>
            <w:r w:rsidR="008718B4">
              <w:rPr>
                <w:rFonts w:ascii="Arial" w:eastAsia="Times New Roman" w:hAnsi="Arial" w:cs="Arial"/>
                <w:sz w:val="12"/>
                <w:szCs w:val="12"/>
              </w:rPr>
              <w:t>Takashi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 et al., 2003)</w:t>
            </w:r>
          </w:p>
        </w:tc>
      </w:tr>
      <w:tr w:rsidR="000E73B9" w:rsidRPr="000E73B9" w14:paraId="05CBF9AF" w14:textId="7B04213E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803DF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wrightii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E956FB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AB44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4CCA8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vAlign w:val="center"/>
          </w:tcPr>
          <w:p w14:paraId="687C513D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51E1C896" w14:textId="04458BF9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07D09F" w14:textId="082A32A3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suffrutescens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DB234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E61C0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D6D2A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E4C2"/>
            <w:vAlign w:val="center"/>
          </w:tcPr>
          <w:p w14:paraId="7B1777C4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5AC7898E" w14:textId="4E5A8FC4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9E4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652B0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S. baicalensis</w:t>
            </w:r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E4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F18E8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0.54 ± 0.00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B9E4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214637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(Xu et al., 2020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);</w:t>
            </w:r>
            <w:proofErr w:type="gramEnd"/>
          </w:p>
          <w:p w14:paraId="2063982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0.41 (Zhao et al., 2019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);</w:t>
            </w:r>
            <w:proofErr w:type="gramEnd"/>
          </w:p>
          <w:p w14:paraId="663B5691" w14:textId="27CFF7EA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0.41 (Cole et al., 2008)</w:t>
            </w: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B9E4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30D84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18 (Xu et al., 2020</w:t>
            </w:r>
            <w:proofErr w:type="gramStart"/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);</w:t>
            </w:r>
            <w:proofErr w:type="gramEnd"/>
          </w:p>
          <w:p w14:paraId="5A38EFA9" w14:textId="1C0B6A3A" w:rsidR="005E574D" w:rsidRPr="000E73B9" w:rsidRDefault="005E574D" w:rsidP="00B3283F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2n = 18 (Zhao et al., 2019)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B9E4F1"/>
            <w:vAlign w:val="center"/>
          </w:tcPr>
          <w:p w14:paraId="034A2BE5" w14:textId="0409FF77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 xml:space="preserve">2 </w:t>
            </w:r>
            <w:r w:rsidR="00C16CF6" w:rsidRPr="000E73B9">
              <w:rPr>
                <w:rFonts w:ascii="Arial" w:eastAsia="Times New Roman" w:hAnsi="Arial" w:cs="Arial"/>
                <w:sz w:val="12"/>
                <w:szCs w:val="12"/>
              </w:rPr>
              <w:t>(</w:t>
            </w:r>
            <w:r w:rsidR="00C16CF6">
              <w:rPr>
                <w:rFonts w:ascii="Arial" w:eastAsia="Times New Roman" w:hAnsi="Arial" w:cs="Arial"/>
                <w:sz w:val="12"/>
                <w:szCs w:val="12"/>
              </w:rPr>
              <w:t>Ranjbar &amp; Mahmoudi</w:t>
            </w:r>
            <w:r w:rsidR="00C16CF6"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, </w:t>
            </w:r>
            <w:r w:rsidR="00C16CF6">
              <w:rPr>
                <w:rFonts w:ascii="Arial" w:eastAsia="Times New Roman" w:hAnsi="Arial" w:cs="Arial"/>
                <w:sz w:val="12"/>
                <w:szCs w:val="12"/>
              </w:rPr>
              <w:t>2013</w:t>
            </w:r>
            <w:r w:rsidR="00C16CF6"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</w:tr>
      <w:tr w:rsidR="000E73B9" w:rsidRPr="000E73B9" w14:paraId="040C62BC" w14:textId="4F82B3ED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6D1EC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015E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0.39 ± 0.02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4866C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E11F9A" w14:textId="64A6C87E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 xml:space="preserve">2n = 34 (Lövkvist &amp; </w:t>
            </w:r>
            <w:proofErr w:type="spellStart"/>
            <w:r w:rsidR="00A77E5D" w:rsidRPr="00A77E5D">
              <w:rPr>
                <w:rFonts w:ascii="Arial" w:eastAsia="Times New Roman" w:hAnsi="Arial" w:cs="Arial"/>
                <w:sz w:val="12"/>
                <w:szCs w:val="12"/>
              </w:rPr>
              <w:t>Hultgård</w:t>
            </w:r>
            <w:proofErr w:type="spellEnd"/>
            <w:r w:rsidRPr="000E73B9">
              <w:rPr>
                <w:rFonts w:ascii="Arial" w:eastAsia="Times New Roman" w:hAnsi="Arial" w:cs="Arial"/>
                <w:sz w:val="12"/>
                <w:szCs w:val="12"/>
              </w:rPr>
              <w:t>, 1999)</w:t>
            </w: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vAlign w:val="center"/>
          </w:tcPr>
          <w:p w14:paraId="643D6CBB" w14:textId="14B4F594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4 (</w:t>
            </w:r>
            <w:r w:rsidR="005B07A2" w:rsidRPr="005B07A2">
              <w:rPr>
                <w:rFonts w:ascii="Arial" w:eastAsia="Times New Roman" w:hAnsi="Arial" w:cs="Arial"/>
                <w:sz w:val="12"/>
                <w:szCs w:val="12"/>
              </w:rPr>
              <w:t xml:space="preserve">Lövkvist &amp; </w:t>
            </w:r>
            <w:proofErr w:type="spellStart"/>
            <w:r w:rsidR="005B07A2" w:rsidRPr="005B07A2">
              <w:rPr>
                <w:rFonts w:ascii="Arial" w:eastAsia="Times New Roman" w:hAnsi="Arial" w:cs="Arial"/>
                <w:sz w:val="12"/>
                <w:szCs w:val="12"/>
              </w:rPr>
              <w:t>Hultgård</w:t>
            </w:r>
            <w:proofErr w:type="spellEnd"/>
            <w:r w:rsidR="005B07A2" w:rsidRPr="005B07A2">
              <w:rPr>
                <w:rFonts w:ascii="Arial" w:eastAsia="Times New Roman" w:hAnsi="Arial" w:cs="Arial"/>
                <w:sz w:val="12"/>
                <w:szCs w:val="12"/>
              </w:rPr>
              <w:t>, 1999</w:t>
            </w: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)</w:t>
            </w:r>
          </w:p>
        </w:tc>
      </w:tr>
      <w:tr w:rsidR="000E73B9" w:rsidRPr="000E73B9" w14:paraId="254BBC72" w14:textId="2381266A" w:rsidTr="00C454B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46B62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88B6E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0.39 ± 0.01</w:t>
            </w:r>
          </w:p>
        </w:tc>
        <w:tc>
          <w:tcPr>
            <w:tcW w:w="8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9EC53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F3C8F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8F0"/>
            <w:vAlign w:val="center"/>
          </w:tcPr>
          <w:p w14:paraId="2CAB7A3D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0E73B9" w:rsidRPr="000E73B9" w14:paraId="36AF0223" w14:textId="497D45CF" w:rsidTr="00CB2667">
        <w:trPr>
          <w:trHeight w:val="20"/>
        </w:trPr>
        <w:tc>
          <w:tcPr>
            <w:tcW w:w="1007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893508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leonardii</w:t>
            </w:r>
            <w:proofErr w:type="spellEnd"/>
          </w:p>
        </w:tc>
        <w:tc>
          <w:tcPr>
            <w:tcW w:w="834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46905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0.50 ± 0.02</w:t>
            </w:r>
          </w:p>
        </w:tc>
        <w:tc>
          <w:tcPr>
            <w:tcW w:w="875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FDBAFD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25A31" w14:textId="550E850C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2n = 20 (Gill, 1981)</w:t>
            </w:r>
          </w:p>
        </w:tc>
        <w:tc>
          <w:tcPr>
            <w:tcW w:w="1022" w:type="pct"/>
            <w:tcBorders>
              <w:top w:val="single" w:sz="8" w:space="0" w:color="FFFFFF"/>
              <w:left w:val="nil"/>
              <w:bottom w:val="nil"/>
              <w:right w:val="nil"/>
            </w:tcBorders>
            <w:vAlign w:val="center"/>
          </w:tcPr>
          <w:p w14:paraId="65EBF342" w14:textId="7E604226" w:rsidR="005E574D" w:rsidRPr="000E73B9" w:rsidRDefault="006B3FD4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sz w:val="12"/>
                <w:szCs w:val="12"/>
              </w:rPr>
              <w:t>2 (Gill, 1981)</w:t>
            </w:r>
          </w:p>
        </w:tc>
      </w:tr>
      <w:tr w:rsidR="000E73B9" w:rsidRPr="000E73B9" w14:paraId="6F2363BC" w14:textId="27E01BBF" w:rsidTr="00CB2667">
        <w:trPr>
          <w:trHeight w:val="20"/>
        </w:trPr>
        <w:tc>
          <w:tcPr>
            <w:tcW w:w="100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1DAF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S.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pekenensis</w:t>
            </w:r>
            <w:proofErr w:type="spellEnd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 xml:space="preserve"> var. </w:t>
            </w:r>
            <w:proofErr w:type="spellStart"/>
            <w:r w:rsidRPr="000E73B9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2"/>
                <w:szCs w:val="12"/>
              </w:rPr>
              <w:t>alpina</w:t>
            </w:r>
            <w:proofErr w:type="spellEnd"/>
          </w:p>
        </w:tc>
        <w:tc>
          <w:tcPr>
            <w:tcW w:w="8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6954C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0E73B9">
              <w:rPr>
                <w:rFonts w:ascii="Arial" w:eastAsia="Times New Roman" w:hAnsi="Arial" w:cs="Arial"/>
                <w:color w:val="000000" w:themeColor="dark1"/>
                <w:kern w:val="24"/>
                <w:sz w:val="12"/>
                <w:szCs w:val="12"/>
              </w:rPr>
              <w:t>0.38 ± 0.02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60845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5A021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B953006" w14:textId="77777777" w:rsidR="005E574D" w:rsidRPr="000E73B9" w:rsidRDefault="005E574D" w:rsidP="00B3283F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</w:tbl>
    <w:p w14:paraId="7B3BF775" w14:textId="4F1294A6" w:rsidR="00165B5E" w:rsidRPr="000E73B9" w:rsidRDefault="00165B5E">
      <w:pPr>
        <w:rPr>
          <w:rFonts w:ascii="Arial" w:hAnsi="Arial" w:cs="Arial"/>
          <w:sz w:val="12"/>
          <w:szCs w:val="12"/>
        </w:rPr>
      </w:pPr>
    </w:p>
    <w:p w14:paraId="675627F2" w14:textId="22E5BAB8" w:rsidR="00B64BD7" w:rsidRPr="000E73B9" w:rsidRDefault="00B64BD7">
      <w:pPr>
        <w:rPr>
          <w:rFonts w:ascii="Arial" w:hAnsi="Arial" w:cs="Arial"/>
          <w:sz w:val="12"/>
          <w:szCs w:val="12"/>
        </w:rPr>
      </w:pPr>
    </w:p>
    <w:sectPr w:rsidR="00B64BD7" w:rsidRPr="000E73B9" w:rsidSect="000E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1"/>
    <w:rsid w:val="000E73B9"/>
    <w:rsid w:val="00165B5E"/>
    <w:rsid w:val="00180ED8"/>
    <w:rsid w:val="00264323"/>
    <w:rsid w:val="00531753"/>
    <w:rsid w:val="005446E8"/>
    <w:rsid w:val="00592D44"/>
    <w:rsid w:val="005B07A2"/>
    <w:rsid w:val="005E574D"/>
    <w:rsid w:val="00654B53"/>
    <w:rsid w:val="00656F08"/>
    <w:rsid w:val="006B3FD4"/>
    <w:rsid w:val="006F398F"/>
    <w:rsid w:val="008718B4"/>
    <w:rsid w:val="00A64F81"/>
    <w:rsid w:val="00A77E5D"/>
    <w:rsid w:val="00A8588A"/>
    <w:rsid w:val="00B3283F"/>
    <w:rsid w:val="00B64BD7"/>
    <w:rsid w:val="00B85610"/>
    <w:rsid w:val="00C16CF6"/>
    <w:rsid w:val="00C45059"/>
    <w:rsid w:val="00C454B7"/>
    <w:rsid w:val="00C921FC"/>
    <w:rsid w:val="00CB2667"/>
    <w:rsid w:val="00D45078"/>
    <w:rsid w:val="00D920E9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83E"/>
  <w15:chartTrackingRefBased/>
  <w15:docId w15:val="{5BD63660-3671-4F46-8253-8B690921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19</cp:revision>
  <dcterms:created xsi:type="dcterms:W3CDTF">2020-11-16T23:18:00Z</dcterms:created>
  <dcterms:modified xsi:type="dcterms:W3CDTF">2021-08-16T21:51:00Z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id="DuJwPZ7a"/&gt;&lt;style id="http://www.zotero.org/styles/apa" locale="en-US"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