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1CF9FEFE"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057E5C">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A662A5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B5FFA">
        <w:rPr>
          <w:rFonts w:ascii="Times New Roman" w:hAnsi="Times New Roman" w:cs="Times New Roman"/>
          <w:sz w:val="24"/>
          <w:szCs w:val="24"/>
        </w:rPr>
        <w:t>flavones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CBD6DFC"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 in the aerial parts of the plant, and 4’-deoxyflavones in the roots.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2744591F"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flavonoid 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Because flavonoid</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15 medicinally active flavonoids in #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w:t>
      </w:r>
      <w:r w:rsidR="00F66342">
        <w:rPr>
          <w:rFonts w:ascii="Times New Roman" w:hAnsi="Times New Roman" w:cs="Times New Roman"/>
          <w:sz w:val="24"/>
          <w:szCs w:val="24"/>
        </w:rPr>
        <w:lastRenderedPageBreak/>
        <w:t>between phylogeny and flavonoid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w:t>
      </w:r>
      <w:proofErr w:type="gramStart"/>
      <w:r w:rsidR="001428A0">
        <w:rPr>
          <w:rFonts w:ascii="Times New Roman" w:hAnsi="Times New Roman" w:cs="Times New Roman"/>
          <w:sz w:val="24"/>
          <w:szCs w:val="24"/>
        </w:rPr>
        <w:t xml:space="preserve">100 </w:t>
      </w:r>
      <w:proofErr w:type="spellStart"/>
      <w:r w:rsidR="001428A0" w:rsidRPr="004D3627">
        <w:rPr>
          <w:rFonts w:ascii="Times New Roman" w:hAnsi="Times New Roman" w:cs="Times New Roman"/>
          <w:sz w:val="24"/>
          <w:szCs w:val="24"/>
        </w:rPr>
        <w:t>uM</w:t>
      </w:r>
      <w:proofErr w:type="spellEnd"/>
      <w:proofErr w:type="gramEnd"/>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4129584" w:rsidR="001E6C09" w:rsidRDefault="00CC469B"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Flavonoid</w:t>
      </w:r>
      <w:r w:rsidR="001E6C09" w:rsidRPr="00FF71CA">
        <w:rPr>
          <w:rFonts w:ascii="Times New Roman" w:hAnsi="Times New Roman" w:cs="Times New Roman"/>
          <w:b/>
          <w:bCs/>
          <w:i/>
          <w:iCs/>
          <w:sz w:val="24"/>
          <w:szCs w:val="24"/>
        </w:rPr>
        <w:t xml:space="preserve"> extraction </w:t>
      </w:r>
      <w:r>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4393FF5D"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15 f</w:t>
      </w:r>
      <w:r w:rsidR="005878BE">
        <w:rPr>
          <w:rFonts w:ascii="Times New Roman" w:hAnsi="Times New Roman" w:cs="Times New Roman"/>
          <w:sz w:val="24"/>
          <w:szCs w:val="24"/>
        </w:rPr>
        <w:t>lavonoids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scutellarein,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wogonoside, and acetoside.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 xml:space="preserve">so that the following ratio was achieved: 1 mg tissue / 1 mL solvent. To remove any remaining tissue </w:t>
      </w:r>
      <w:r w:rsidR="007747DC">
        <w:rPr>
          <w:rFonts w:ascii="Times New Roman" w:hAnsi="Times New Roman" w:cs="Times New Roman"/>
          <w:sz w:val="24"/>
          <w:szCs w:val="24"/>
        </w:rPr>
        <w:lastRenderedPageBreak/>
        <w:t>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984A93">
        <w:rPr>
          <w:rFonts w:ascii="Times New Roman" w:hAnsi="Times New Roman" w:cs="Times New Roman"/>
          <w:sz w:val="24"/>
          <w:szCs w:val="24"/>
        </w:rPr>
        <w:t>The</w:t>
      </w:r>
      <w:r w:rsidR="00CC469B">
        <w:rPr>
          <w:rFonts w:ascii="Times New Roman" w:hAnsi="Times New Roman" w:cs="Times New Roman"/>
          <w:sz w:val="24"/>
          <w:szCs w:val="24"/>
        </w:rPr>
        <w:t xml:space="preserve"> concentrations</w:t>
      </w:r>
      <w:r w:rsidR="00984A93">
        <w:rPr>
          <w:rFonts w:ascii="Times New Roman" w:hAnsi="Times New Roman" w:cs="Times New Roman"/>
          <w:sz w:val="24"/>
          <w:szCs w:val="24"/>
        </w:rPr>
        <w:t xml:space="preserve"> of 15 flavonoids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Flavonoids were separated with </w:t>
      </w:r>
      <w:proofErr w:type="gramStart"/>
      <w:r w:rsidR="00B66DCC">
        <w:rPr>
          <w:rFonts w:ascii="Times New Roman" w:hAnsi="Times New Roman" w:cs="Times New Roman"/>
          <w:sz w:val="24"/>
          <w:szCs w:val="24"/>
        </w:rPr>
        <w:t>an</w:t>
      </w:r>
      <w:proofErr w:type="gramEnd"/>
      <w:r w:rsidR="00B66DCC">
        <w:rPr>
          <w:rFonts w:ascii="Times New Roman" w:hAnsi="Times New Roman" w:cs="Times New Roman"/>
          <w:sz w:val="24"/>
          <w:szCs w:val="24"/>
        </w:rPr>
        <w:t xml:space="preserve"> 3 x 100 mm Acclaim RSLC 120 C18 column, and an elution mixture of 0.1% formic acid (A) and 100% acetonitrile (B).</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CC469B">
        <w:rPr>
          <w:rFonts w:ascii="Times New Roman" w:hAnsi="Times New Roman" w:cs="Times New Roman"/>
          <w:sz w:val="24"/>
          <w:szCs w:val="24"/>
        </w:rPr>
        <w:t>using a 10 cm column and a</w:t>
      </w:r>
      <w:r w:rsidR="00C62863">
        <w:rPr>
          <w:rFonts w:ascii="Times New Roman" w:hAnsi="Times New Roman" w:cs="Times New Roman"/>
          <w:sz w:val="24"/>
          <w:szCs w:val="24"/>
        </w:rPr>
        <w:t xml:space="preserve">n elution mixture of </w:t>
      </w:r>
      <w:r w:rsidR="00CC469B">
        <w:rPr>
          <w:rFonts w:ascii="Times New Roman" w:hAnsi="Times New Roman" w:cs="Times New Roman"/>
          <w:color w:val="FF0000"/>
          <w:sz w:val="24"/>
          <w:szCs w:val="24"/>
        </w:rPr>
        <w:t>0.1% formic acid and 100% acetonitrile.</w:t>
      </w:r>
      <w:r w:rsidR="00C62863">
        <w:rPr>
          <w:rFonts w:ascii="Times New Roman" w:hAnsi="Times New Roman" w:cs="Times New Roman"/>
          <w:color w:val="FF0000"/>
          <w:sz w:val="24"/>
          <w:szCs w:val="24"/>
        </w:rPr>
        <w:t xml:space="preserve"> Describe elution gradient and flowrate – see Zhao et al (2016). </w:t>
      </w:r>
      <w:r w:rsidR="00CC469B">
        <w:rPr>
          <w:rFonts w:ascii="Times New Roman" w:hAnsi="Times New Roman" w:cs="Times New Roman"/>
          <w:color w:val="FF0000"/>
          <w:sz w:val="24"/>
          <w:szCs w:val="24"/>
        </w:rPr>
        <w:t xml:space="preserve">Screenshot of HPLC method in supplemental?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Preparation of calibration mixes + source of flavonoids.</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flavonoid</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5F91D622"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The same 15 f</w:t>
      </w:r>
      <w:r>
        <w:rPr>
          <w:rFonts w:ascii="Times New Roman" w:hAnsi="Times New Roman" w:cs="Times New Roman"/>
          <w:sz w:val="24"/>
          <w:szCs w:val="24"/>
        </w:rPr>
        <w:t xml:space="preserve">lavonoids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3C7BBA">
        <w:rPr>
          <w:rFonts w:ascii="Times New Roman" w:hAnsi="Times New Roman" w:cs="Times New Roman"/>
          <w:color w:val="FF0000"/>
          <w:sz w:val="24"/>
          <w:szCs w:val="24"/>
        </w:rPr>
        <w:t xml:space="preserve">Root tissue samples </w:t>
      </w:r>
      <w:proofErr w:type="gramStart"/>
      <w:r w:rsidR="003C7BBA">
        <w:rPr>
          <w:rFonts w:ascii="Times New Roman" w:hAnsi="Times New Roman" w:cs="Times New Roman"/>
          <w:color w:val="FF0000"/>
          <w:sz w:val="24"/>
          <w:szCs w:val="24"/>
        </w:rPr>
        <w:t>washed?</w:t>
      </w:r>
      <w:proofErr w:type="gramEnd"/>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flavonoid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492E2ECC"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hylogeny-flavonoid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0004DD52"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flavonoid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flavonoids </w:t>
      </w:r>
      <w:r w:rsidR="00A17A49">
        <w:rPr>
          <w:rFonts w:ascii="Times New Roman" w:hAnsi="Times New Roman" w:cs="Times New Roman"/>
          <w:sz w:val="24"/>
          <w:szCs w:val="24"/>
        </w:rPr>
        <w:lastRenderedPageBreak/>
        <w:t xml:space="preserve">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flavonoid concentrations were converted into a binary format</w:t>
      </w:r>
      <w:r w:rsidR="00B61541">
        <w:rPr>
          <w:rFonts w:ascii="Times New Roman" w:hAnsi="Times New Roman" w:cs="Times New Roman"/>
          <w:sz w:val="24"/>
          <w:szCs w:val="24"/>
        </w:rPr>
        <w:t>, where only the presence or absence of a flavonoid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flavonoids were split into two group – aerial-specific, and root-specific. Aerial-specific flavonoids included apigenin, </w:t>
      </w:r>
      <w:proofErr w:type="spellStart"/>
      <w:r w:rsidR="00E37A44">
        <w:rPr>
          <w:rFonts w:ascii="Times New Roman" w:hAnsi="Times New Roman" w:cs="Times New Roman"/>
          <w:sz w:val="24"/>
          <w:szCs w:val="24"/>
        </w:rPr>
        <w:t>apigeninG</w:t>
      </w:r>
      <w:proofErr w:type="spellEnd"/>
      <w:r w:rsidR="00E37A44">
        <w:rPr>
          <w:rFonts w:ascii="Times New Roman" w:hAnsi="Times New Roman" w:cs="Times New Roman"/>
          <w:sz w:val="24"/>
          <w:szCs w:val="24"/>
        </w:rPr>
        <w:t xml:space="preserve">, scutellarein, scutellarin, hispidulin, and </w:t>
      </w:r>
      <w:proofErr w:type="spellStart"/>
      <w:r w:rsidR="00E37A44">
        <w:rPr>
          <w:rFonts w:ascii="Times New Roman" w:hAnsi="Times New Roman" w:cs="Times New Roman"/>
          <w:sz w:val="24"/>
          <w:szCs w:val="24"/>
        </w:rPr>
        <w:t>hispidulinG</w:t>
      </w:r>
      <w:proofErr w:type="spellEnd"/>
      <w:r w:rsidR="00E37A44">
        <w:rPr>
          <w:rFonts w:ascii="Times New Roman" w:hAnsi="Times New Roman" w:cs="Times New Roman"/>
          <w:sz w:val="24"/>
          <w:szCs w:val="24"/>
        </w:rPr>
        <w:t xml:space="preserve">. Root-specific flavonoids included chrysin, </w:t>
      </w:r>
      <w:proofErr w:type="spellStart"/>
      <w:r w:rsidR="00E37A44">
        <w:rPr>
          <w:rFonts w:ascii="Times New Roman" w:hAnsi="Times New Roman" w:cs="Times New Roman"/>
          <w:sz w:val="24"/>
          <w:szCs w:val="24"/>
        </w:rPr>
        <w:t>chrysinG</w:t>
      </w:r>
      <w:proofErr w:type="spellEnd"/>
      <w:r w:rsidR="00E37A44">
        <w:rPr>
          <w:rFonts w:ascii="Times New Roman" w:hAnsi="Times New Roman" w:cs="Times New Roman"/>
          <w:sz w:val="24"/>
          <w:szCs w:val="24"/>
        </w:rPr>
        <w:t xml:space="preserve">, baicalein, baicalin, </w:t>
      </w:r>
      <w:proofErr w:type="spellStart"/>
      <w:r w:rsidR="00E37A44">
        <w:rPr>
          <w:rFonts w:ascii="Times New Roman" w:hAnsi="Times New Roman" w:cs="Times New Roman"/>
          <w:sz w:val="24"/>
          <w:szCs w:val="24"/>
        </w:rPr>
        <w:t>oroxylin</w:t>
      </w:r>
      <w:proofErr w:type="spellEnd"/>
      <w:r w:rsidR="00E37A44">
        <w:rPr>
          <w:rFonts w:ascii="Times New Roman" w:hAnsi="Times New Roman" w:cs="Times New Roman"/>
          <w:sz w:val="24"/>
          <w:szCs w:val="24"/>
        </w:rPr>
        <w:t xml:space="preserve"> A, </w:t>
      </w:r>
      <w:proofErr w:type="spellStart"/>
      <w:r w:rsidR="00E37A44">
        <w:rPr>
          <w:rFonts w:ascii="Times New Roman" w:hAnsi="Times New Roman" w:cs="Times New Roman"/>
          <w:sz w:val="24"/>
          <w:szCs w:val="24"/>
        </w:rPr>
        <w:t>oroxyloside</w:t>
      </w:r>
      <w:proofErr w:type="spellEnd"/>
      <w:r w:rsidR="00E37A44">
        <w:rPr>
          <w:rFonts w:ascii="Times New Roman" w:hAnsi="Times New Roman" w:cs="Times New Roman"/>
          <w:sz w:val="24"/>
          <w:szCs w:val="24"/>
        </w:rPr>
        <w:t xml:space="preserve">, wogonin, wogonoside, and acetoside. </w:t>
      </w:r>
      <w:r w:rsidR="00836171">
        <w:rPr>
          <w:rFonts w:ascii="Times New Roman" w:hAnsi="Times New Roman" w:cs="Times New Roman"/>
          <w:sz w:val="24"/>
          <w:szCs w:val="24"/>
        </w:rPr>
        <w:t>95%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lastRenderedPageBreak/>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6A18607"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874F6D">
        <w:rPr>
          <w:rFonts w:ascii="Times New Roman" w:hAnsi="Times New Roman" w:cs="Times New Roman"/>
          <w:b/>
          <w:bCs/>
          <w:i/>
          <w:iCs/>
          <w:sz w:val="24"/>
          <w:szCs w:val="24"/>
        </w:rPr>
        <w:t>flavonoid</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460A5EE" w14:textId="2E48FF0C" w:rsidR="00D52315" w:rsidRPr="00874F6D" w:rsidRDefault="00874F6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 conclusions about flavonoid results (e.g. most common and least common flavonoids, organ-specificity)</w:t>
      </w:r>
      <w:r w:rsidR="00D52315">
        <w:rPr>
          <w:rFonts w:ascii="Times New Roman" w:hAnsi="Times New Roman" w:cs="Times New Roman"/>
          <w:sz w:val="24"/>
          <w:szCs w:val="24"/>
        </w:rPr>
        <w:t>. Grouping of species by flavonoid profile (MFA).</w:t>
      </w:r>
    </w:p>
    <w:p w14:paraId="02A73475" w14:textId="69C327BB"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Organ-specific flavonoid diversity –</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DC50F0E" w:rsidR="00B91FA9" w:rsidRPr="00B91FA9" w:rsidRDefault="00B91FA9" w:rsidP="00622F65">
      <w:pPr>
        <w:spacing w:after="0" w:line="480" w:lineRule="auto"/>
        <w:rPr>
          <w:rFonts w:ascii="Times New Roman" w:hAnsi="Times New Roman" w:cs="Times New Roman"/>
          <w:b/>
          <w:bCs/>
          <w:color w:val="FF0000"/>
          <w:sz w:val="24"/>
          <w:szCs w:val="24"/>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7B023B34" w14:textId="6BAB880A" w:rsidR="001E6C09" w:rsidRDefault="001E6C09">
      <w:pPr>
        <w:rPr>
          <w:rFonts w:ascii="Times New Roman" w:hAnsi="Times New Roman" w:cs="Times New Roman"/>
          <w:sz w:val="24"/>
          <w:szCs w:val="24"/>
        </w:rPr>
      </w:pPr>
      <w:r>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1634247B" w14:textId="77777777" w:rsidR="00DD0C9D" w:rsidRPr="00DD0C9D" w:rsidRDefault="002D045E" w:rsidP="00DD0C9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D0C9D" w:rsidRPr="00DD0C9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DD0C9D" w:rsidRPr="00DD0C9D">
        <w:rPr>
          <w:rFonts w:ascii="Times New Roman" w:hAnsi="Times New Roman" w:cs="Times New Roman"/>
          <w:i/>
          <w:iCs/>
          <w:sz w:val="24"/>
        </w:rPr>
        <w:t>Phytomedicine</w:t>
      </w:r>
      <w:r w:rsidR="00DD0C9D" w:rsidRPr="00DD0C9D">
        <w:rPr>
          <w:rFonts w:ascii="Times New Roman" w:hAnsi="Times New Roman" w:cs="Times New Roman"/>
          <w:sz w:val="24"/>
        </w:rPr>
        <w:t xml:space="preserve">, </w:t>
      </w:r>
      <w:r w:rsidR="00DD0C9D" w:rsidRPr="00DD0C9D">
        <w:rPr>
          <w:rFonts w:ascii="Times New Roman" w:hAnsi="Times New Roman" w:cs="Times New Roman"/>
          <w:i/>
          <w:iCs/>
          <w:sz w:val="24"/>
        </w:rPr>
        <w:t>10</w:t>
      </w:r>
      <w:r w:rsidR="00DD0C9D" w:rsidRPr="00DD0C9D">
        <w:rPr>
          <w:rFonts w:ascii="Times New Roman" w:hAnsi="Times New Roman" w:cs="Times New Roman"/>
          <w:sz w:val="24"/>
        </w:rPr>
        <w:t>(8), 640–649. https://doi.org/10.1078/0944-7113-00374</w:t>
      </w:r>
    </w:p>
    <w:p w14:paraId="6968453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DD0C9D">
        <w:rPr>
          <w:rFonts w:ascii="Times New Roman" w:hAnsi="Times New Roman" w:cs="Times New Roman"/>
          <w:i/>
          <w:iCs/>
          <w:sz w:val="24"/>
        </w:rPr>
        <w:t>Planta Medica</w:t>
      </w:r>
      <w:r w:rsidRPr="00DD0C9D">
        <w:rPr>
          <w:rFonts w:ascii="Times New Roman" w:hAnsi="Times New Roman" w:cs="Times New Roman"/>
          <w:sz w:val="24"/>
        </w:rPr>
        <w:t xml:space="preserve">, </w:t>
      </w:r>
      <w:r w:rsidRPr="00DD0C9D">
        <w:rPr>
          <w:rFonts w:ascii="Times New Roman" w:hAnsi="Times New Roman" w:cs="Times New Roman"/>
          <w:i/>
          <w:iCs/>
          <w:sz w:val="24"/>
        </w:rPr>
        <w:t>74</w:t>
      </w:r>
      <w:r w:rsidRPr="00DD0C9D">
        <w:rPr>
          <w:rFonts w:ascii="Times New Roman" w:hAnsi="Times New Roman" w:cs="Times New Roman"/>
          <w:sz w:val="24"/>
        </w:rPr>
        <w:t>(4), 474–481. https://doi.org/10.1055/s-2008-1034358</w:t>
      </w:r>
    </w:p>
    <w:p w14:paraId="60345A92"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Kato, M. J., Yoshida, M., &amp; Gottlieb, O. R. (1992). Flavones and lignans in flowers, fruits and seedlings of Virola venosa. </w:t>
      </w:r>
      <w:r w:rsidRPr="00DD0C9D">
        <w:rPr>
          <w:rFonts w:ascii="Times New Roman" w:hAnsi="Times New Roman" w:cs="Times New Roman"/>
          <w:i/>
          <w:iCs/>
          <w:sz w:val="24"/>
        </w:rPr>
        <w:t>Phytochemistry</w:t>
      </w:r>
      <w:r w:rsidRPr="00DD0C9D">
        <w:rPr>
          <w:rFonts w:ascii="Times New Roman" w:hAnsi="Times New Roman" w:cs="Times New Roman"/>
          <w:sz w:val="24"/>
        </w:rPr>
        <w:t xml:space="preserve">, </w:t>
      </w:r>
      <w:r w:rsidRPr="00DD0C9D">
        <w:rPr>
          <w:rFonts w:ascii="Times New Roman" w:hAnsi="Times New Roman" w:cs="Times New Roman"/>
          <w:i/>
          <w:iCs/>
          <w:sz w:val="24"/>
        </w:rPr>
        <w:t>31</w:t>
      </w:r>
      <w:r w:rsidRPr="00DD0C9D">
        <w:rPr>
          <w:rFonts w:ascii="Times New Roman" w:hAnsi="Times New Roman" w:cs="Times New Roman"/>
          <w:sz w:val="24"/>
        </w:rPr>
        <w:t>(1), 283–287. https://doi.org/10.1016/0031-9422(91)83055-P</w:t>
      </w:r>
    </w:p>
    <w:p w14:paraId="53837C1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Lin, T.-Y., Lu, C.-W., Wang, C.-C., Lu, J.-F., &amp; Wang, S.-J. (2012). Hispidulin inhibits the release of glutamate in rat cerebrocortical nerve terminals. </w:t>
      </w:r>
      <w:r w:rsidRPr="00DD0C9D">
        <w:rPr>
          <w:rFonts w:ascii="Times New Roman" w:hAnsi="Times New Roman" w:cs="Times New Roman"/>
          <w:i/>
          <w:iCs/>
          <w:sz w:val="24"/>
        </w:rPr>
        <w:t>Toxicology and Applied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263</w:t>
      </w:r>
      <w:r w:rsidRPr="00DD0C9D">
        <w:rPr>
          <w:rFonts w:ascii="Times New Roman" w:hAnsi="Times New Roman" w:cs="Times New Roman"/>
          <w:sz w:val="24"/>
        </w:rPr>
        <w:t>(2), 233–243. https://doi.org/10.1016/j.taap.2012.06.015</w:t>
      </w:r>
    </w:p>
    <w:p w14:paraId="763C4B27"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V. M., Damu, G. L. V., Sudhakar, D., &amp; Rao, C. V. (2009). Two New Bio-active Flavones from Grangea maderaspatana (Artemisia maderaspatana). </w:t>
      </w:r>
      <w:r w:rsidRPr="00DD0C9D">
        <w:rPr>
          <w:rFonts w:ascii="Times New Roman" w:hAnsi="Times New Roman" w:cs="Times New Roman"/>
          <w:i/>
          <w:iCs/>
          <w:sz w:val="24"/>
        </w:rPr>
        <w:t>Asian J. Chem.</w:t>
      </w:r>
      <w:r w:rsidRPr="00DD0C9D">
        <w:rPr>
          <w:rFonts w:ascii="Times New Roman" w:hAnsi="Times New Roman" w:cs="Times New Roman"/>
          <w:sz w:val="24"/>
        </w:rPr>
        <w:t xml:space="preserve">, </w:t>
      </w:r>
      <w:r w:rsidRPr="00DD0C9D">
        <w:rPr>
          <w:rFonts w:ascii="Times New Roman" w:hAnsi="Times New Roman" w:cs="Times New Roman"/>
          <w:i/>
          <w:iCs/>
          <w:sz w:val="24"/>
        </w:rPr>
        <w:t>21</w:t>
      </w:r>
      <w:r w:rsidRPr="00DD0C9D">
        <w:rPr>
          <w:rFonts w:ascii="Times New Roman" w:hAnsi="Times New Roman" w:cs="Times New Roman"/>
          <w:sz w:val="24"/>
        </w:rPr>
        <w:t>(2), 7.</w:t>
      </w:r>
    </w:p>
    <w:p w14:paraId="021C1E5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Y. K., Reddy, M. V. B., Rao, C. V., Gunasekar, D., Blond, A., Caux, C., &amp; Bodo, B. (2002). Two new 5-deoxyflavones from Albizia odoratissima. </w:t>
      </w:r>
      <w:r w:rsidRPr="00DD0C9D">
        <w:rPr>
          <w:rFonts w:ascii="Times New Roman" w:hAnsi="Times New Roman" w:cs="Times New Roman"/>
          <w:i/>
          <w:iCs/>
          <w:sz w:val="24"/>
        </w:rPr>
        <w:t>Chemical &amp; Pharmaceutical Bulletin</w:t>
      </w:r>
      <w:r w:rsidRPr="00DD0C9D">
        <w:rPr>
          <w:rFonts w:ascii="Times New Roman" w:hAnsi="Times New Roman" w:cs="Times New Roman"/>
          <w:sz w:val="24"/>
        </w:rPr>
        <w:t xml:space="preserve">, </w:t>
      </w:r>
      <w:r w:rsidRPr="00DD0C9D">
        <w:rPr>
          <w:rFonts w:ascii="Times New Roman" w:hAnsi="Times New Roman" w:cs="Times New Roman"/>
          <w:i/>
          <w:iCs/>
          <w:sz w:val="24"/>
        </w:rPr>
        <w:t>50</w:t>
      </w:r>
      <w:r w:rsidRPr="00DD0C9D">
        <w:rPr>
          <w:rFonts w:ascii="Times New Roman" w:hAnsi="Times New Roman" w:cs="Times New Roman"/>
          <w:sz w:val="24"/>
        </w:rPr>
        <w:t>(9), 1271–1272. https://doi.org/10.1248/cpb.50.1271</w:t>
      </w:r>
    </w:p>
    <w:p w14:paraId="0BC4BD2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DD0C9D">
        <w:rPr>
          <w:rFonts w:ascii="Times New Roman" w:hAnsi="Times New Roman" w:cs="Times New Roman"/>
          <w:i/>
          <w:iCs/>
          <w:sz w:val="24"/>
        </w:rPr>
        <w:t>International Journal of Molecular Sciences</w:t>
      </w:r>
      <w:r w:rsidRPr="00DD0C9D">
        <w:rPr>
          <w:rFonts w:ascii="Times New Roman" w:hAnsi="Times New Roman" w:cs="Times New Roman"/>
          <w:sz w:val="24"/>
        </w:rPr>
        <w:t xml:space="preserve">, </w:t>
      </w:r>
      <w:r w:rsidRPr="00DD0C9D">
        <w:rPr>
          <w:rFonts w:ascii="Times New Roman" w:hAnsi="Times New Roman" w:cs="Times New Roman"/>
          <w:i/>
          <w:iCs/>
          <w:sz w:val="24"/>
        </w:rPr>
        <w:t>20</w:t>
      </w:r>
      <w:r w:rsidRPr="00DD0C9D">
        <w:rPr>
          <w:rFonts w:ascii="Times New Roman" w:hAnsi="Times New Roman" w:cs="Times New Roman"/>
          <w:sz w:val="24"/>
        </w:rPr>
        <w:t>(6). https://doi.org/10.3390/ijms20061305</w:t>
      </w:r>
    </w:p>
    <w:p w14:paraId="1599814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Shang, X., He, X., He, X., Li, M., Zhang, R., Fan, P., Zhang, Q., &amp; Jia, Z. (2010). The genus Scutellaria an ethnopharmacological and phytochemical review.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128</w:t>
      </w:r>
      <w:r w:rsidRPr="00DD0C9D">
        <w:rPr>
          <w:rFonts w:ascii="Times New Roman" w:hAnsi="Times New Roman" w:cs="Times New Roman"/>
          <w:sz w:val="24"/>
        </w:rPr>
        <w:t>(2), 279–313. https://doi.org/10.1016/j.jep.2010.01.006</w:t>
      </w:r>
    </w:p>
    <w:p w14:paraId="3D02224F"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DD0C9D">
        <w:rPr>
          <w:rFonts w:ascii="Times New Roman" w:hAnsi="Times New Roman" w:cs="Times New Roman"/>
          <w:i/>
          <w:iCs/>
          <w:sz w:val="24"/>
        </w:rPr>
        <w:t>Scientific Reports</w:t>
      </w:r>
      <w:r w:rsidRPr="00DD0C9D">
        <w:rPr>
          <w:rFonts w:ascii="Times New Roman" w:hAnsi="Times New Roman" w:cs="Times New Roman"/>
          <w:sz w:val="24"/>
        </w:rPr>
        <w:t xml:space="preserve">, </w:t>
      </w:r>
      <w:r w:rsidRPr="00DD0C9D">
        <w:rPr>
          <w:rFonts w:ascii="Times New Roman" w:hAnsi="Times New Roman" w:cs="Times New Roman"/>
          <w:i/>
          <w:iCs/>
          <w:sz w:val="24"/>
        </w:rPr>
        <w:t>8</w:t>
      </w:r>
      <w:r w:rsidRPr="00DD0C9D">
        <w:rPr>
          <w:rFonts w:ascii="Times New Roman" w:hAnsi="Times New Roman" w:cs="Times New Roman"/>
          <w:sz w:val="24"/>
        </w:rPr>
        <w:t>(1), 14477. https://doi.org/10.1038/s41598-018-32734-2</w:t>
      </w:r>
    </w:p>
    <w:p w14:paraId="15EAF5E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DD0C9D">
        <w:rPr>
          <w:rFonts w:ascii="Times New Roman" w:hAnsi="Times New Roman" w:cs="Times New Roman"/>
          <w:i/>
          <w:iCs/>
          <w:sz w:val="24"/>
        </w:rPr>
        <w:t>Oncology Letters</w:t>
      </w:r>
      <w:r w:rsidRPr="00DD0C9D">
        <w:rPr>
          <w:rFonts w:ascii="Times New Roman" w:hAnsi="Times New Roman" w:cs="Times New Roman"/>
          <w:sz w:val="24"/>
        </w:rPr>
        <w:t xml:space="preserve">, </w:t>
      </w:r>
      <w:r w:rsidRPr="00DD0C9D">
        <w:rPr>
          <w:rFonts w:ascii="Times New Roman" w:hAnsi="Times New Roman" w:cs="Times New Roman"/>
          <w:i/>
          <w:iCs/>
          <w:sz w:val="24"/>
        </w:rPr>
        <w:t>14</w:t>
      </w:r>
      <w:r w:rsidRPr="00DD0C9D">
        <w:rPr>
          <w:rFonts w:ascii="Times New Roman" w:hAnsi="Times New Roman" w:cs="Times New Roman"/>
          <w:sz w:val="24"/>
        </w:rPr>
        <w:t>(1), 607–614. https://doi.org/10.3892/ol.2017.6184</w:t>
      </w:r>
    </w:p>
    <w:p w14:paraId="71E83565"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254</w:t>
      </w:r>
      <w:r w:rsidRPr="00DD0C9D">
        <w:rPr>
          <w:rFonts w:ascii="Times New Roman" w:hAnsi="Times New Roman" w:cs="Times New Roman"/>
          <w:sz w:val="24"/>
        </w:rPr>
        <w:t>, 112260. https://doi.org/10.1016/j.jep.2019.112260</w:t>
      </w:r>
    </w:p>
    <w:p w14:paraId="7455506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217</w:t>
      </w:r>
      <w:r w:rsidRPr="00DD0C9D">
        <w:rPr>
          <w:rFonts w:ascii="Times New Roman" w:hAnsi="Times New Roman" w:cs="Times New Roman"/>
          <w:sz w:val="24"/>
        </w:rPr>
        <w:t>, 140–151. https://doi.org/10.1016/j.jep.2018.02.020</w:t>
      </w:r>
    </w:p>
    <w:p w14:paraId="07FABB91"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DD0C9D">
        <w:rPr>
          <w:rFonts w:ascii="Times New Roman" w:hAnsi="Times New Roman" w:cs="Times New Roman"/>
          <w:i/>
          <w:iCs/>
          <w:sz w:val="24"/>
        </w:rPr>
        <w:t>Phytomedicine</w:t>
      </w:r>
      <w:r w:rsidRPr="00DD0C9D">
        <w:rPr>
          <w:rFonts w:ascii="Times New Roman" w:hAnsi="Times New Roman" w:cs="Times New Roman"/>
          <w:sz w:val="24"/>
        </w:rPr>
        <w:t xml:space="preserve">, </w:t>
      </w:r>
      <w:r w:rsidRPr="00DD0C9D">
        <w:rPr>
          <w:rFonts w:ascii="Times New Roman" w:hAnsi="Times New Roman" w:cs="Times New Roman"/>
          <w:i/>
          <w:iCs/>
          <w:sz w:val="24"/>
        </w:rPr>
        <w:t>16</w:t>
      </w:r>
      <w:r w:rsidRPr="00DD0C9D">
        <w:rPr>
          <w:rFonts w:ascii="Times New Roman" w:hAnsi="Times New Roman" w:cs="Times New Roman"/>
          <w:sz w:val="24"/>
        </w:rPr>
        <w:t>(5), 485–493. https://doi.org/10.1016/j.phymed.2008.07.011</w:t>
      </w:r>
    </w:p>
    <w:p w14:paraId="38FA610C"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Chen, X.-Y., &amp; Martin, C. (2016). Scutellaria baicalensis, the golden herb from the garden of Chinese medicinal plants. </w:t>
      </w:r>
      <w:r w:rsidRPr="00DD0C9D">
        <w:rPr>
          <w:rFonts w:ascii="Times New Roman" w:hAnsi="Times New Roman" w:cs="Times New Roman"/>
          <w:i/>
          <w:iCs/>
          <w:sz w:val="24"/>
        </w:rPr>
        <w:t>Science Bulletin</w:t>
      </w:r>
      <w:r w:rsidRPr="00DD0C9D">
        <w:rPr>
          <w:rFonts w:ascii="Times New Roman" w:hAnsi="Times New Roman" w:cs="Times New Roman"/>
          <w:sz w:val="24"/>
        </w:rPr>
        <w:t xml:space="preserve">, </w:t>
      </w:r>
      <w:r w:rsidRPr="00DD0C9D">
        <w:rPr>
          <w:rFonts w:ascii="Times New Roman" w:hAnsi="Times New Roman" w:cs="Times New Roman"/>
          <w:i/>
          <w:iCs/>
          <w:sz w:val="24"/>
        </w:rPr>
        <w:t>61</w:t>
      </w:r>
      <w:r w:rsidRPr="00DD0C9D">
        <w:rPr>
          <w:rFonts w:ascii="Times New Roman" w:hAnsi="Times New Roman" w:cs="Times New Roman"/>
          <w:sz w:val="24"/>
        </w:rPr>
        <w:t>(18), 1391–1398. https://doi.org/10.1007/s11434-016-1136-5</w:t>
      </w:r>
    </w:p>
    <w:p w14:paraId="7869EC1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DD0C9D">
        <w:rPr>
          <w:rFonts w:ascii="Times New Roman" w:hAnsi="Times New Roman" w:cs="Times New Roman"/>
          <w:i/>
          <w:iCs/>
          <w:sz w:val="24"/>
        </w:rPr>
        <w:t>Molecular Plant</w:t>
      </w:r>
      <w:r w:rsidRPr="00DD0C9D">
        <w:rPr>
          <w:rFonts w:ascii="Times New Roman" w:hAnsi="Times New Roman" w:cs="Times New Roman"/>
          <w:sz w:val="24"/>
        </w:rPr>
        <w:t xml:space="preserve">, </w:t>
      </w:r>
      <w:r w:rsidRPr="00DD0C9D">
        <w:rPr>
          <w:rFonts w:ascii="Times New Roman" w:hAnsi="Times New Roman" w:cs="Times New Roman"/>
          <w:i/>
          <w:iCs/>
          <w:sz w:val="24"/>
        </w:rPr>
        <w:t>12</w:t>
      </w:r>
      <w:r w:rsidRPr="00DD0C9D">
        <w:rPr>
          <w:rFonts w:ascii="Times New Roman" w:hAnsi="Times New Roman" w:cs="Times New Roman"/>
          <w:sz w:val="24"/>
        </w:rPr>
        <w:t>(7), 935–950. https://doi.org/10.1016/j.molp.2019.04.002</w:t>
      </w:r>
    </w:p>
    <w:p w14:paraId="1293FDD0"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DD0C9D">
        <w:rPr>
          <w:rFonts w:ascii="Times New Roman" w:hAnsi="Times New Roman" w:cs="Times New Roman"/>
          <w:i/>
          <w:iCs/>
          <w:sz w:val="24"/>
        </w:rPr>
        <w:t>Science Advances</w:t>
      </w:r>
      <w:r w:rsidRPr="00DD0C9D">
        <w:rPr>
          <w:rFonts w:ascii="Times New Roman" w:hAnsi="Times New Roman" w:cs="Times New Roman"/>
          <w:sz w:val="24"/>
        </w:rPr>
        <w:t xml:space="preserve">, </w:t>
      </w:r>
      <w:r w:rsidRPr="00DD0C9D">
        <w:rPr>
          <w:rFonts w:ascii="Times New Roman" w:hAnsi="Times New Roman" w:cs="Times New Roman"/>
          <w:i/>
          <w:iCs/>
          <w:sz w:val="24"/>
        </w:rPr>
        <w:t>2</w:t>
      </w:r>
      <w:r w:rsidRPr="00DD0C9D">
        <w:rPr>
          <w:rFonts w:ascii="Times New Roman" w:hAnsi="Times New Roman" w:cs="Times New Roman"/>
          <w:sz w:val="24"/>
        </w:rPr>
        <w:t>(4), e1501780. https://doi.org/10.1126/sciadv.1501780</w:t>
      </w:r>
    </w:p>
    <w:p w14:paraId="527CCFFB"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DD0C9D">
        <w:rPr>
          <w:rFonts w:ascii="Times New Roman" w:hAnsi="Times New Roman" w:cs="Times New Roman"/>
          <w:i/>
          <w:iCs/>
          <w:sz w:val="24"/>
        </w:rPr>
        <w:t>Journal of Pharmacy and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71</w:t>
      </w:r>
      <w:r w:rsidRPr="00DD0C9D">
        <w:rPr>
          <w:rFonts w:ascii="Times New Roman" w:hAnsi="Times New Roman" w:cs="Times New Roman"/>
          <w:sz w:val="24"/>
        </w:rPr>
        <w:t>(9), 1353–1369. https://doi.org/10.1111/jphp.13129</w:t>
      </w:r>
    </w:p>
    <w:p w14:paraId="1943AB9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Zhu, D., Wang, S., Lawless, J., He, J., &amp; Zheng, Z. (2016). Dose Dependent Dual Effect of Baicalin and Herb Huang Qin Extract on Angiogenesis. </w:t>
      </w:r>
      <w:r w:rsidRPr="00DD0C9D">
        <w:rPr>
          <w:rFonts w:ascii="Times New Roman" w:hAnsi="Times New Roman" w:cs="Times New Roman"/>
          <w:i/>
          <w:iCs/>
          <w:sz w:val="24"/>
        </w:rPr>
        <w:t>PLOS ONE</w:t>
      </w:r>
      <w:r w:rsidRPr="00DD0C9D">
        <w:rPr>
          <w:rFonts w:ascii="Times New Roman" w:hAnsi="Times New Roman" w:cs="Times New Roman"/>
          <w:sz w:val="24"/>
        </w:rPr>
        <w:t xml:space="preserve">, </w:t>
      </w:r>
      <w:r w:rsidRPr="00DD0C9D">
        <w:rPr>
          <w:rFonts w:ascii="Times New Roman" w:hAnsi="Times New Roman" w:cs="Times New Roman"/>
          <w:i/>
          <w:iCs/>
          <w:sz w:val="24"/>
        </w:rPr>
        <w:t>11</w:t>
      </w:r>
      <w:r w:rsidRPr="00DD0C9D">
        <w:rPr>
          <w:rFonts w:ascii="Times New Roman" w:hAnsi="Times New Roman" w:cs="Times New Roman"/>
          <w:sz w:val="24"/>
        </w:rPr>
        <w:t>(11), e0167125. https://doi.org/10.1371/journal.pone.0167125</w:t>
      </w:r>
    </w:p>
    <w:p w14:paraId="4AB733C3" w14:textId="0610C36A"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7F214" w14:textId="77777777" w:rsidR="00204AA3" w:rsidRDefault="00204AA3" w:rsidP="00622F65">
      <w:pPr>
        <w:spacing w:after="0" w:line="240" w:lineRule="auto"/>
      </w:pPr>
      <w:r>
        <w:separator/>
      </w:r>
    </w:p>
  </w:endnote>
  <w:endnote w:type="continuationSeparator" w:id="0">
    <w:p w14:paraId="552BEC68" w14:textId="77777777" w:rsidR="00204AA3" w:rsidRDefault="00204AA3"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6F692" w14:textId="77777777" w:rsidR="00204AA3" w:rsidRDefault="00204AA3" w:rsidP="00622F65">
      <w:pPr>
        <w:spacing w:after="0" w:line="240" w:lineRule="auto"/>
      </w:pPr>
      <w:r>
        <w:separator/>
      </w:r>
    </w:p>
  </w:footnote>
  <w:footnote w:type="continuationSeparator" w:id="0">
    <w:p w14:paraId="358431B9" w14:textId="77777777" w:rsidR="00204AA3" w:rsidRDefault="00204AA3"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7E5C"/>
    <w:rsid w:val="000877A0"/>
    <w:rsid w:val="000A3248"/>
    <w:rsid w:val="000B6058"/>
    <w:rsid w:val="000D0C5D"/>
    <w:rsid w:val="000D3C6A"/>
    <w:rsid w:val="000D71EC"/>
    <w:rsid w:val="00112E57"/>
    <w:rsid w:val="001428A0"/>
    <w:rsid w:val="0015428C"/>
    <w:rsid w:val="00155FFB"/>
    <w:rsid w:val="00170A1C"/>
    <w:rsid w:val="001E6C09"/>
    <w:rsid w:val="001E7495"/>
    <w:rsid w:val="00204AA3"/>
    <w:rsid w:val="00232D39"/>
    <w:rsid w:val="00234202"/>
    <w:rsid w:val="002D045E"/>
    <w:rsid w:val="00303C9C"/>
    <w:rsid w:val="00304E8B"/>
    <w:rsid w:val="003200CA"/>
    <w:rsid w:val="00323B65"/>
    <w:rsid w:val="00326A65"/>
    <w:rsid w:val="003B59F7"/>
    <w:rsid w:val="003C7BBA"/>
    <w:rsid w:val="004428B0"/>
    <w:rsid w:val="00455EAE"/>
    <w:rsid w:val="00460127"/>
    <w:rsid w:val="004860EB"/>
    <w:rsid w:val="004D3627"/>
    <w:rsid w:val="005644F0"/>
    <w:rsid w:val="005878BE"/>
    <w:rsid w:val="005C0396"/>
    <w:rsid w:val="00622F65"/>
    <w:rsid w:val="006307D4"/>
    <w:rsid w:val="00634D0B"/>
    <w:rsid w:val="00645076"/>
    <w:rsid w:val="00646429"/>
    <w:rsid w:val="006556D0"/>
    <w:rsid w:val="00665B6F"/>
    <w:rsid w:val="0069523E"/>
    <w:rsid w:val="006E7E25"/>
    <w:rsid w:val="00701D3C"/>
    <w:rsid w:val="00727150"/>
    <w:rsid w:val="00737FBC"/>
    <w:rsid w:val="007747DC"/>
    <w:rsid w:val="007F0056"/>
    <w:rsid w:val="007F1C40"/>
    <w:rsid w:val="00836171"/>
    <w:rsid w:val="00837E36"/>
    <w:rsid w:val="00874F6D"/>
    <w:rsid w:val="0088552B"/>
    <w:rsid w:val="008B3FBB"/>
    <w:rsid w:val="008F7B30"/>
    <w:rsid w:val="00984A93"/>
    <w:rsid w:val="00A075E2"/>
    <w:rsid w:val="00A17A49"/>
    <w:rsid w:val="00A67CF9"/>
    <w:rsid w:val="00A83995"/>
    <w:rsid w:val="00AB2A7A"/>
    <w:rsid w:val="00AD196F"/>
    <w:rsid w:val="00B06F54"/>
    <w:rsid w:val="00B350A4"/>
    <w:rsid w:val="00B61541"/>
    <w:rsid w:val="00B66DCC"/>
    <w:rsid w:val="00B91FA9"/>
    <w:rsid w:val="00BA7329"/>
    <w:rsid w:val="00BB5FFA"/>
    <w:rsid w:val="00BC0B01"/>
    <w:rsid w:val="00BC6D2E"/>
    <w:rsid w:val="00C55512"/>
    <w:rsid w:val="00C62863"/>
    <w:rsid w:val="00C800FA"/>
    <w:rsid w:val="00CC469B"/>
    <w:rsid w:val="00D229BA"/>
    <w:rsid w:val="00D40864"/>
    <w:rsid w:val="00D52315"/>
    <w:rsid w:val="00DB0BA7"/>
    <w:rsid w:val="00DD0C9D"/>
    <w:rsid w:val="00E231AF"/>
    <w:rsid w:val="00E37A44"/>
    <w:rsid w:val="00E67085"/>
    <w:rsid w:val="00EB62C9"/>
    <w:rsid w:val="00ED747D"/>
    <w:rsid w:val="00F32362"/>
    <w:rsid w:val="00F66342"/>
    <w:rsid w:val="00FF5143"/>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1</Pages>
  <Words>9905</Words>
  <Characters>56460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 </cp:lastModifiedBy>
  <cp:revision>19</cp:revision>
  <dcterms:created xsi:type="dcterms:W3CDTF">2020-07-21T19:15:00Z</dcterms:created>
  <dcterms:modified xsi:type="dcterms:W3CDTF">2020-08-20T15:09:00Z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id="anGQY6Rn"/&gt;&lt;style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