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56A826" w14:textId="256F8531" w:rsidR="00EA430C" w:rsidRDefault="00EA430C" w:rsidP="00A742ED">
      <w:pPr>
        <w:pStyle w:val="Default"/>
        <w:spacing w:after="240" w:line="276" w:lineRule="auto"/>
        <w:rPr>
          <w:b/>
          <w:bCs/>
        </w:rPr>
      </w:pPr>
      <w:r>
        <w:rPr>
          <w:b/>
          <w:bCs/>
        </w:rPr>
        <w:t>Introduction</w:t>
      </w:r>
    </w:p>
    <w:p w14:paraId="02FA8E17" w14:textId="785B0639" w:rsidR="00EA430C" w:rsidRPr="00807E1B" w:rsidRDefault="00EA430C" w:rsidP="00CD601F">
      <w:pPr>
        <w:pStyle w:val="Default"/>
        <w:spacing w:after="240" w:line="276" w:lineRule="auto"/>
      </w:pPr>
      <w:r>
        <w:tab/>
      </w:r>
      <w:r w:rsidR="00AF1364">
        <w:t xml:space="preserve">When evaluating the severity of the pinking response </w:t>
      </w:r>
      <w:r w:rsidR="00085751">
        <w:t xml:space="preserve">in </w:t>
      </w:r>
      <w:r w:rsidR="00AF1364">
        <w:t>lettuce rib</w:t>
      </w:r>
      <w:r w:rsidR="00085751">
        <w:t>s</w:t>
      </w:r>
      <w:r w:rsidR="00AF1364">
        <w:t>, it is common to use a visual observation-based system (</w:t>
      </w:r>
      <w:r w:rsidR="00573E16">
        <w:t xml:space="preserve">Monaghan et al., 2016; </w:t>
      </w:r>
      <w:proofErr w:type="spellStart"/>
      <w:r w:rsidR="00573E16">
        <w:t>Paillart</w:t>
      </w:r>
      <w:proofErr w:type="spellEnd"/>
      <w:r w:rsidR="00573E16">
        <w:t xml:space="preserve"> et al., 2017</w:t>
      </w:r>
      <w:r w:rsidR="00573E16">
        <w:t xml:space="preserve">; </w:t>
      </w:r>
      <w:proofErr w:type="spellStart"/>
      <w:r w:rsidR="00573E16">
        <w:t>Saltveit</w:t>
      </w:r>
      <w:proofErr w:type="spellEnd"/>
      <w:r w:rsidR="00573E16">
        <w:t>, 2004</w:t>
      </w:r>
      <w:r w:rsidR="00AF1364">
        <w:t xml:space="preserve">). In this type of system, an observer makes a judgement of the severity of the pinking response based on their perception of discoloration </w:t>
      </w:r>
      <w:r w:rsidR="00085751">
        <w:t>on the rib</w:t>
      </w:r>
      <w:r w:rsidR="00AF1364">
        <w:t>.</w:t>
      </w:r>
      <w:r w:rsidR="00085751">
        <w:t xml:space="preserve"> </w:t>
      </w:r>
      <w:r w:rsidR="00807E1B">
        <w:t>However, a</w:t>
      </w:r>
      <w:r w:rsidR="00085751">
        <w:t xml:space="preserve">s </w:t>
      </w:r>
      <w:r w:rsidR="00DC49F3">
        <w:t xml:space="preserve">the accuracy of these methods is dependent upon the ability of an observer to reliably quantify color and the area occupied by a color based on visual observation alone, </w:t>
      </w:r>
      <w:r w:rsidR="00807E1B">
        <w:t xml:space="preserve">there is potential for human-based error. </w:t>
      </w:r>
      <w:r w:rsidR="00DC49F3">
        <w:t xml:space="preserve">RGB imaging has been applied extensively in plant phenomics to </w:t>
      </w:r>
      <w:r w:rsidR="00CC4E71">
        <w:t>measure a variety of phenotypes, including plant color (Yang et al., 2020).</w:t>
      </w:r>
      <w:r w:rsidR="00DC49F3">
        <w:t xml:space="preserve"> </w:t>
      </w:r>
      <w:r w:rsidR="00807E1B">
        <w:t>P</w:t>
      </w:r>
      <w:r w:rsidR="00CC4E71">
        <w:t xml:space="preserve">hotos taken by a calibrated RGB camera in consistent lighting conditions can provide a quantitative measure of the color of the subject. </w:t>
      </w:r>
      <w:r w:rsidR="00706F33">
        <w:t>In our study, we propose an RGB imaging-based method for quantifying the severity of th</w:t>
      </w:r>
      <w:r w:rsidR="00807E1B">
        <w:t>e</w:t>
      </w:r>
      <w:r w:rsidR="00706F33">
        <w:t xml:space="preserve"> pinking response</w:t>
      </w:r>
      <w:r w:rsidR="00807E1B">
        <w:t xml:space="preserve"> in lettuce ribs which relies only on open-source software.</w:t>
      </w:r>
    </w:p>
    <w:p w14:paraId="543EB9A8" w14:textId="0E7D9645" w:rsidR="00A742ED" w:rsidRPr="00A742ED" w:rsidRDefault="00A742ED" w:rsidP="00A742ED">
      <w:pPr>
        <w:pStyle w:val="Default"/>
        <w:spacing w:after="240" w:line="276" w:lineRule="auto"/>
        <w:rPr>
          <w:b/>
          <w:bCs/>
        </w:rPr>
      </w:pPr>
      <w:r w:rsidRPr="00A742ED">
        <w:rPr>
          <w:b/>
          <w:bCs/>
        </w:rPr>
        <w:t>Method</w:t>
      </w:r>
    </w:p>
    <w:p w14:paraId="05654850" w14:textId="6BB3B688" w:rsidR="00A742ED" w:rsidRPr="00A742ED" w:rsidRDefault="00A742ED" w:rsidP="00A742ED">
      <w:pPr>
        <w:pStyle w:val="Default"/>
        <w:spacing w:after="240" w:line="276" w:lineRule="auto"/>
        <w:ind w:firstLine="720"/>
      </w:pPr>
      <w:r w:rsidRPr="00A742ED">
        <w:t>The degree of pinking was measured quantitatively with a</w:t>
      </w:r>
      <w:r w:rsidR="00CC4E71">
        <w:t xml:space="preserve">n RGB </w:t>
      </w:r>
      <w:r w:rsidRPr="00A742ED">
        <w:t>imaging-based method. Images of wounded ribs were taken at 0, 2, and 4 days after wounding</w:t>
      </w:r>
      <w:r w:rsidR="00676D03">
        <w:t xml:space="preserve"> in the sRGB color space</w:t>
      </w:r>
      <w:r w:rsidRPr="00A742ED">
        <w:t xml:space="preserve">. Lighting conditions and camera settings were carefully controlled to ensure consistent imaging. </w:t>
      </w:r>
      <w:r w:rsidR="00956A3B">
        <w:t xml:space="preserve">The white balance of the camera was set with a gray card prior to each imaging session. </w:t>
      </w:r>
      <w:r w:rsidRPr="00A742ED">
        <w:t xml:space="preserve">GNU Image Manipulation Program (GIMP, version 2.10.14; https ://www.gimp.org/) was used to crop out background pixels from each rib, and extract pixels from an area 1 mm in height centered at the cut site, for each cut site in an image. Extracted pixels for each cut site were then exported into separate images. To allow for direct comparison of each cut site to its state at previous time points, each cut site was assigned a label at day 0 based on the identity of the rib and its </w:t>
      </w:r>
      <w:r w:rsidR="00676D03">
        <w:t>position</w:t>
      </w:r>
      <w:r w:rsidRPr="00A742ED">
        <w:t xml:space="preserve"> on the rib.</w:t>
      </w:r>
    </w:p>
    <w:p w14:paraId="508D4E14" w14:textId="26691D92" w:rsidR="00A742ED" w:rsidRDefault="00A742ED" w:rsidP="00A742ED">
      <w:pPr>
        <w:spacing w:after="240" w:line="276" w:lineRule="auto"/>
        <w:ind w:firstLine="720"/>
        <w:rPr>
          <w:rFonts w:ascii="Arial" w:hAnsi="Arial" w:cs="Arial"/>
          <w:sz w:val="24"/>
          <w:szCs w:val="24"/>
        </w:rPr>
      </w:pPr>
      <w:r w:rsidRPr="00A742ED">
        <w:rPr>
          <w:rFonts w:ascii="Arial" w:hAnsi="Arial" w:cs="Arial"/>
          <w:sz w:val="24"/>
          <w:szCs w:val="24"/>
        </w:rPr>
        <w:t xml:space="preserve">R (version 4.0.0; R Core Team, 2020) was used to convert cut site images from the </w:t>
      </w:r>
      <w:r w:rsidR="00676D03">
        <w:rPr>
          <w:rFonts w:ascii="Arial" w:hAnsi="Arial" w:cs="Arial"/>
          <w:sz w:val="24"/>
          <w:szCs w:val="24"/>
        </w:rPr>
        <w:t>s</w:t>
      </w:r>
      <w:r w:rsidRPr="00A742ED">
        <w:rPr>
          <w:rFonts w:ascii="Arial" w:hAnsi="Arial" w:cs="Arial"/>
          <w:sz w:val="24"/>
          <w:szCs w:val="24"/>
        </w:rPr>
        <w:t>RGB to the L*a*b* color space</w:t>
      </w:r>
      <w:r w:rsidR="00CB7197">
        <w:rPr>
          <w:rFonts w:ascii="Arial" w:hAnsi="Arial" w:cs="Arial"/>
          <w:sz w:val="24"/>
          <w:szCs w:val="24"/>
        </w:rPr>
        <w:t xml:space="preserve"> and</w:t>
      </w:r>
      <w:r w:rsidRPr="00A742ED">
        <w:rPr>
          <w:rFonts w:ascii="Arial" w:hAnsi="Arial" w:cs="Arial"/>
          <w:sz w:val="24"/>
          <w:szCs w:val="24"/>
        </w:rPr>
        <w:t xml:space="preserve"> calculate the mean a* for each cut site image</w:t>
      </w:r>
      <w:r w:rsidR="00CB7197">
        <w:rPr>
          <w:rFonts w:ascii="Arial" w:hAnsi="Arial" w:cs="Arial"/>
          <w:sz w:val="24"/>
          <w:szCs w:val="24"/>
        </w:rPr>
        <w:t xml:space="preserve">. </w:t>
      </w:r>
      <w:r w:rsidR="00CB7197" w:rsidRPr="00CB7197">
        <w:rPr>
          <w:rFonts w:ascii="Arial" w:hAnsi="Arial" w:cs="Arial"/>
          <w:sz w:val="24"/>
          <w:szCs w:val="24"/>
        </w:rPr>
        <w:t>Illuminant D65</w:t>
      </w:r>
      <w:r w:rsidR="00CB7197">
        <w:rPr>
          <w:rFonts w:ascii="Arial" w:hAnsi="Arial" w:cs="Arial"/>
          <w:sz w:val="24"/>
          <w:szCs w:val="24"/>
        </w:rPr>
        <w:t xml:space="preserve"> was specified as the reference white for the RGB to L*a*b* conversion.</w:t>
      </w:r>
      <w:r w:rsidR="00676D03">
        <w:rPr>
          <w:rFonts w:ascii="Arial" w:hAnsi="Arial" w:cs="Arial"/>
          <w:sz w:val="24"/>
          <w:szCs w:val="24"/>
        </w:rPr>
        <w:t xml:space="preserve"> In the L*a*b* color space, a* represents the degree of redness or greenness. A pixel with a smaller value of a* will appear </w:t>
      </w:r>
      <w:proofErr w:type="gramStart"/>
      <w:r w:rsidR="00676D03">
        <w:rPr>
          <w:rFonts w:ascii="Arial" w:hAnsi="Arial" w:cs="Arial"/>
          <w:sz w:val="24"/>
          <w:szCs w:val="24"/>
        </w:rPr>
        <w:t>more green</w:t>
      </w:r>
      <w:proofErr w:type="gramEnd"/>
      <w:r w:rsidR="00676D03">
        <w:rPr>
          <w:rFonts w:ascii="Arial" w:hAnsi="Arial" w:cs="Arial"/>
          <w:sz w:val="24"/>
          <w:szCs w:val="24"/>
        </w:rPr>
        <w:t>, while a pixel with a larger value will appear more red. Therefore, the mean value of a* at each cut site can be used to quantify the severity of the pinking response.</w:t>
      </w:r>
    </w:p>
    <w:p w14:paraId="46AA505B" w14:textId="1CB5D401" w:rsidR="00D95A6E" w:rsidRDefault="00956A3B" w:rsidP="00A742ED">
      <w:pPr>
        <w:spacing w:after="240" w:line="276" w:lineRule="auto"/>
        <w:ind w:firstLine="720"/>
        <w:rPr>
          <w:rFonts w:ascii="Arial" w:hAnsi="Arial" w:cs="Arial"/>
          <w:sz w:val="24"/>
          <w:szCs w:val="24"/>
        </w:rPr>
      </w:pPr>
      <w:r>
        <w:rPr>
          <w:rFonts w:ascii="Arial" w:hAnsi="Arial" w:cs="Arial"/>
          <w:sz w:val="24"/>
          <w:szCs w:val="24"/>
        </w:rPr>
        <w:t>R was also applied to subset the data, which was necessary</w:t>
      </w:r>
      <w:r w:rsidR="00A742ED" w:rsidRPr="00A742ED">
        <w:rPr>
          <w:rFonts w:ascii="Arial" w:hAnsi="Arial" w:cs="Arial"/>
          <w:sz w:val="24"/>
          <w:szCs w:val="24"/>
        </w:rPr>
        <w:t xml:space="preserve"> to ensure that the cut sites chosen for further analysis had similar initial color. Subsetting was accomplished by defining a range of values which the mean a* of the cut site at 0 days after wounding must fall within to be considered. For iceberg, the range chosen was -3 to 0. For romaine, -6 to -3. To equalize the number of cut sites considered from each </w:t>
      </w:r>
      <w:r w:rsidR="00A742ED" w:rsidRPr="00A742ED">
        <w:rPr>
          <w:rFonts w:ascii="Arial" w:hAnsi="Arial" w:cs="Arial"/>
          <w:sz w:val="24"/>
          <w:szCs w:val="24"/>
        </w:rPr>
        <w:lastRenderedPageBreak/>
        <w:t>treatment group, cut sites with an initial mean a* differing the most from the average initial mean a* of the smallest group were recursively removed until the number of cut sites in each treatment group were equal. For iceberg, this left 5 cut sites from each treatment method. For romaine, 3.</w:t>
      </w:r>
      <w:r w:rsidR="00AE2991">
        <w:rPr>
          <w:rFonts w:ascii="Arial" w:hAnsi="Arial" w:cs="Arial"/>
          <w:sz w:val="24"/>
          <w:szCs w:val="24"/>
        </w:rPr>
        <w:t xml:space="preserve"> All R code used in this analysis can be downloaded from the repository: </w:t>
      </w:r>
      <w:r w:rsidR="00AE2991" w:rsidRPr="00AE2991">
        <w:rPr>
          <w:rFonts w:ascii="Arial" w:hAnsi="Arial" w:cs="Arial"/>
          <w:sz w:val="24"/>
          <w:szCs w:val="24"/>
        </w:rPr>
        <w:t>https://github.com/bryceaskey/woundingResponse</w:t>
      </w:r>
      <w:r w:rsidR="00AE2991">
        <w:rPr>
          <w:rFonts w:ascii="Arial" w:hAnsi="Arial" w:cs="Arial"/>
          <w:sz w:val="24"/>
          <w:szCs w:val="24"/>
        </w:rPr>
        <w:t>.</w:t>
      </w:r>
    </w:p>
    <w:p w14:paraId="1BD08362" w14:textId="171F2C6D" w:rsidR="00F92EA6" w:rsidRDefault="005D5504" w:rsidP="00807E1B">
      <w:pPr>
        <w:spacing w:after="240" w:line="276" w:lineRule="auto"/>
        <w:rPr>
          <w:rFonts w:ascii="Arial" w:hAnsi="Arial" w:cs="Arial"/>
          <w:b/>
          <w:bCs/>
          <w:sz w:val="24"/>
          <w:szCs w:val="24"/>
        </w:rPr>
      </w:pPr>
      <w:r>
        <w:rPr>
          <w:rFonts w:ascii="Arial" w:hAnsi="Arial" w:cs="Arial"/>
          <w:b/>
          <w:bCs/>
          <w:sz w:val="24"/>
          <w:szCs w:val="24"/>
        </w:rPr>
        <w:t>Results and d</w:t>
      </w:r>
      <w:r w:rsidR="00E7766D">
        <w:rPr>
          <w:rFonts w:ascii="Arial" w:hAnsi="Arial" w:cs="Arial"/>
          <w:b/>
          <w:bCs/>
          <w:sz w:val="24"/>
          <w:szCs w:val="24"/>
        </w:rPr>
        <w:t>iscussion</w:t>
      </w:r>
    </w:p>
    <w:p w14:paraId="0676DBB3" w14:textId="125595A8" w:rsidR="00E7766D" w:rsidRDefault="008F7A05" w:rsidP="00807E1B">
      <w:pPr>
        <w:spacing w:after="240" w:line="276" w:lineRule="auto"/>
        <w:rPr>
          <w:rFonts w:ascii="Arial" w:hAnsi="Arial" w:cs="Arial"/>
          <w:sz w:val="24"/>
          <w:szCs w:val="24"/>
        </w:rPr>
      </w:pPr>
      <w:r>
        <w:rPr>
          <w:rFonts w:ascii="Arial" w:hAnsi="Arial" w:cs="Arial"/>
          <w:sz w:val="24"/>
          <w:szCs w:val="24"/>
        </w:rPr>
        <w:tab/>
        <w:t>To analyze the results generated by the RGB imaging-method, a</w:t>
      </w:r>
      <w:r>
        <w:rPr>
          <w:rFonts w:ascii="Arial" w:hAnsi="Arial" w:cs="Arial"/>
          <w:sz w:val="24"/>
          <w:szCs w:val="24"/>
        </w:rPr>
        <w:t xml:space="preserve">n unpaired t-test was used to determine if </w:t>
      </w:r>
      <w:r>
        <w:rPr>
          <w:rFonts w:ascii="Arial" w:hAnsi="Arial" w:cs="Arial"/>
          <w:sz w:val="24"/>
          <w:szCs w:val="24"/>
        </w:rPr>
        <w:t xml:space="preserve">the </w:t>
      </w:r>
      <w:r>
        <w:rPr>
          <w:rFonts w:ascii="Arial" w:hAnsi="Arial" w:cs="Arial"/>
          <w:sz w:val="24"/>
          <w:szCs w:val="24"/>
        </w:rPr>
        <w:t>mean a* of the treatment groups at each time point differed significantly from that of the control group</w:t>
      </w:r>
      <w:r w:rsidR="0035170C">
        <w:rPr>
          <w:rFonts w:ascii="Arial" w:hAnsi="Arial" w:cs="Arial"/>
          <w:sz w:val="24"/>
          <w:szCs w:val="24"/>
        </w:rPr>
        <w:t xml:space="preserve"> at the same time point</w:t>
      </w:r>
      <w:r>
        <w:rPr>
          <w:rFonts w:ascii="Arial" w:hAnsi="Arial" w:cs="Arial"/>
          <w:sz w:val="24"/>
          <w:szCs w:val="24"/>
        </w:rPr>
        <w:t xml:space="preserve">. </w:t>
      </w:r>
      <w:r w:rsidR="0035170C">
        <w:rPr>
          <w:rFonts w:ascii="Arial" w:hAnsi="Arial" w:cs="Arial"/>
          <w:sz w:val="24"/>
          <w:szCs w:val="24"/>
        </w:rPr>
        <w:t xml:space="preserve">The mean a* of cut sites on melatonin-treated iceberg ribs </w:t>
      </w:r>
      <w:r>
        <w:rPr>
          <w:rFonts w:ascii="Arial" w:hAnsi="Arial" w:cs="Arial"/>
          <w:sz w:val="24"/>
          <w:szCs w:val="24"/>
        </w:rPr>
        <w:t xml:space="preserve">significantly </w:t>
      </w:r>
      <w:r w:rsidR="0035170C">
        <w:rPr>
          <w:rFonts w:ascii="Arial" w:hAnsi="Arial" w:cs="Arial"/>
          <w:sz w:val="24"/>
          <w:szCs w:val="24"/>
        </w:rPr>
        <w:t>differed from that of the control iceberg ribs at 2 days (p=0.00222) and 4 days (p=</w:t>
      </w:r>
      <w:r w:rsidR="0035170C" w:rsidRPr="0035170C">
        <w:rPr>
          <w:rFonts w:ascii="Arial" w:hAnsi="Arial" w:cs="Arial"/>
          <w:sz w:val="24"/>
          <w:szCs w:val="24"/>
        </w:rPr>
        <w:t>0.0005</w:t>
      </w:r>
      <w:r w:rsidR="0035170C">
        <w:rPr>
          <w:rFonts w:ascii="Arial" w:hAnsi="Arial" w:cs="Arial"/>
          <w:sz w:val="24"/>
          <w:szCs w:val="24"/>
        </w:rPr>
        <w:t>9) after wounding (Figure …A). The mean a* of cut sites on melatonin-treated romaine ribs significantly differed from that of the control romaine ribs only at 2 days (p=0.0242) after wounding (Figure …B). Cysteine treatment did not result in a significant difference</w:t>
      </w:r>
      <w:r w:rsidR="001A75DF">
        <w:rPr>
          <w:rFonts w:ascii="Arial" w:hAnsi="Arial" w:cs="Arial"/>
          <w:sz w:val="24"/>
          <w:szCs w:val="24"/>
        </w:rPr>
        <w:t xml:space="preserve"> in mean a* from the control group</w:t>
      </w:r>
      <w:r w:rsidR="0035170C">
        <w:rPr>
          <w:rFonts w:ascii="Arial" w:hAnsi="Arial" w:cs="Arial"/>
          <w:sz w:val="24"/>
          <w:szCs w:val="24"/>
        </w:rPr>
        <w:t xml:space="preserve"> </w:t>
      </w:r>
      <w:r w:rsidR="001A75DF">
        <w:rPr>
          <w:rFonts w:ascii="Arial" w:hAnsi="Arial" w:cs="Arial"/>
          <w:sz w:val="24"/>
          <w:szCs w:val="24"/>
        </w:rPr>
        <w:t>for romaine or iceberg ribs at either time point.</w:t>
      </w:r>
      <w:r w:rsidR="00CD601F">
        <w:rPr>
          <w:rFonts w:ascii="Arial" w:hAnsi="Arial" w:cs="Arial"/>
          <w:sz w:val="24"/>
          <w:szCs w:val="24"/>
        </w:rPr>
        <w:t xml:space="preserve"> These results suggest that melatonin treatment is able very effectively inhibit the pinking response in iceberg ribs for at minimum 4 days after wounding, and effectively inhibit the pinking response in romaine ribs for at minimum 2 days after wounding.</w:t>
      </w:r>
    </w:p>
    <w:p w14:paraId="0219C8CC" w14:textId="27BA086B" w:rsidR="00807E1B" w:rsidRDefault="00807E1B" w:rsidP="00807E1B">
      <w:pPr>
        <w:spacing w:after="240" w:line="276" w:lineRule="auto"/>
        <w:rPr>
          <w:rFonts w:ascii="Arial" w:hAnsi="Arial" w:cs="Arial"/>
          <w:b/>
          <w:bCs/>
          <w:sz w:val="24"/>
          <w:szCs w:val="24"/>
        </w:rPr>
      </w:pPr>
      <w:r>
        <w:rPr>
          <w:rFonts w:ascii="Arial" w:hAnsi="Arial" w:cs="Arial"/>
          <w:b/>
          <w:bCs/>
          <w:sz w:val="24"/>
          <w:szCs w:val="24"/>
        </w:rPr>
        <w:t>Works cited</w:t>
      </w:r>
    </w:p>
    <w:p w14:paraId="7CC8EDF9" w14:textId="6B04CC56" w:rsidR="009364FD" w:rsidRDefault="009364FD" w:rsidP="00807E1B">
      <w:pPr>
        <w:spacing w:after="240" w:line="276" w:lineRule="auto"/>
        <w:rPr>
          <w:rFonts w:ascii="Arial" w:hAnsi="Arial" w:cs="Arial"/>
          <w:sz w:val="24"/>
          <w:szCs w:val="24"/>
        </w:rPr>
      </w:pPr>
      <w:r>
        <w:rPr>
          <w:rFonts w:ascii="Arial" w:hAnsi="Arial" w:cs="Arial"/>
          <w:sz w:val="24"/>
          <w:szCs w:val="24"/>
        </w:rPr>
        <w:t xml:space="preserve">Monaghan, J.M., Vickers, L.H., Grove, I.G., and Beacham, A.M. (2017) Deficit irrigation reduces postharvest rib pinking in wholehead Iceberg lettuce, but at the expense of head fresh weight. </w:t>
      </w:r>
      <w:r>
        <w:rPr>
          <w:rFonts w:ascii="Arial" w:hAnsi="Arial" w:cs="Arial"/>
          <w:i/>
          <w:iCs/>
          <w:sz w:val="24"/>
          <w:szCs w:val="24"/>
        </w:rPr>
        <w:t>J Sci Food Agric, 97</w:t>
      </w:r>
      <w:r>
        <w:rPr>
          <w:rFonts w:ascii="Arial" w:hAnsi="Arial" w:cs="Arial"/>
          <w:sz w:val="24"/>
          <w:szCs w:val="24"/>
        </w:rPr>
        <w:t>, 1524-1528.</w:t>
      </w:r>
      <w:r w:rsidR="00275739">
        <w:rPr>
          <w:rFonts w:ascii="Arial" w:hAnsi="Arial" w:cs="Arial"/>
          <w:sz w:val="24"/>
          <w:szCs w:val="24"/>
        </w:rPr>
        <w:t xml:space="preserve"> </w:t>
      </w:r>
      <w:hyperlink r:id="rId4" w:history="1">
        <w:r w:rsidR="00C9271F" w:rsidRPr="005D1619">
          <w:rPr>
            <w:rStyle w:val="Hyperlink"/>
            <w:rFonts w:ascii="Arial" w:hAnsi="Arial" w:cs="Arial"/>
            <w:sz w:val="24"/>
            <w:szCs w:val="24"/>
          </w:rPr>
          <w:t>https://doi.org/</w:t>
        </w:r>
        <w:r w:rsidR="00C9271F" w:rsidRPr="005D1619">
          <w:rPr>
            <w:rStyle w:val="Hyperlink"/>
            <w:rFonts w:ascii="Arial" w:hAnsi="Arial" w:cs="Arial"/>
            <w:sz w:val="24"/>
            <w:szCs w:val="24"/>
          </w:rPr>
          <w:t>10.1002/jsfa.7895</w:t>
        </w:r>
      </w:hyperlink>
    </w:p>
    <w:p w14:paraId="586E8EF2" w14:textId="3E0D9E44" w:rsidR="00C9271F" w:rsidRDefault="00C9271F" w:rsidP="00807E1B">
      <w:pPr>
        <w:spacing w:after="240" w:line="276" w:lineRule="auto"/>
        <w:rPr>
          <w:rFonts w:ascii="Arial" w:hAnsi="Arial" w:cs="Arial"/>
          <w:sz w:val="24"/>
          <w:szCs w:val="24"/>
        </w:rPr>
      </w:pPr>
      <w:proofErr w:type="spellStart"/>
      <w:r>
        <w:rPr>
          <w:rFonts w:ascii="Arial" w:hAnsi="Arial" w:cs="Arial"/>
          <w:sz w:val="24"/>
          <w:szCs w:val="24"/>
        </w:rPr>
        <w:t>Paillart</w:t>
      </w:r>
      <w:proofErr w:type="spellEnd"/>
      <w:r>
        <w:rPr>
          <w:rFonts w:ascii="Arial" w:hAnsi="Arial" w:cs="Arial"/>
          <w:sz w:val="24"/>
          <w:szCs w:val="24"/>
        </w:rPr>
        <w:t xml:space="preserve">, M.J.M., </w:t>
      </w:r>
      <w:proofErr w:type="spellStart"/>
      <w:r>
        <w:rPr>
          <w:rFonts w:ascii="Arial" w:hAnsi="Arial" w:cs="Arial"/>
          <w:sz w:val="24"/>
          <w:szCs w:val="24"/>
        </w:rPr>
        <w:t>Otma</w:t>
      </w:r>
      <w:proofErr w:type="spellEnd"/>
      <w:r>
        <w:rPr>
          <w:rFonts w:ascii="Arial" w:hAnsi="Arial" w:cs="Arial"/>
          <w:sz w:val="24"/>
          <w:szCs w:val="24"/>
        </w:rPr>
        <w:t xml:space="preserve">, E.C., and </w:t>
      </w:r>
      <w:proofErr w:type="spellStart"/>
      <w:r>
        <w:rPr>
          <w:rFonts w:ascii="Arial" w:hAnsi="Arial" w:cs="Arial"/>
          <w:sz w:val="24"/>
          <w:szCs w:val="24"/>
        </w:rPr>
        <w:t>Woltering</w:t>
      </w:r>
      <w:proofErr w:type="spellEnd"/>
      <w:r>
        <w:rPr>
          <w:rFonts w:ascii="Arial" w:hAnsi="Arial" w:cs="Arial"/>
          <w:sz w:val="24"/>
          <w:szCs w:val="24"/>
        </w:rPr>
        <w:t xml:space="preserve">, E.J. (2017). Effect of mild heat-shock treatments on pink discoloration and physiological parameters in fresh-cut iceberg lettuce. </w:t>
      </w:r>
      <w:r>
        <w:rPr>
          <w:rFonts w:ascii="Arial" w:hAnsi="Arial" w:cs="Arial"/>
          <w:i/>
          <w:iCs/>
          <w:sz w:val="24"/>
          <w:szCs w:val="24"/>
        </w:rPr>
        <w:t>LWT – Food Science and Technology, 85</w:t>
      </w:r>
      <w:r>
        <w:rPr>
          <w:rFonts w:ascii="Arial" w:hAnsi="Arial" w:cs="Arial"/>
          <w:sz w:val="24"/>
          <w:szCs w:val="24"/>
        </w:rPr>
        <w:t xml:space="preserve">, 456-459. </w:t>
      </w:r>
      <w:r w:rsidRPr="00C9271F">
        <w:rPr>
          <w:rFonts w:ascii="Arial" w:hAnsi="Arial" w:cs="Arial"/>
          <w:sz w:val="24"/>
          <w:szCs w:val="24"/>
        </w:rPr>
        <w:t>https://doi.org/10.1016/j.lwt.2016.11.054</w:t>
      </w:r>
    </w:p>
    <w:p w14:paraId="654CEB3D" w14:textId="79674C48" w:rsidR="00275739" w:rsidRDefault="00275739" w:rsidP="00F92EA6">
      <w:pPr>
        <w:spacing w:after="240" w:line="276" w:lineRule="auto"/>
        <w:rPr>
          <w:rFonts w:ascii="Arial" w:hAnsi="Arial" w:cs="Arial"/>
          <w:sz w:val="24"/>
          <w:szCs w:val="24"/>
        </w:rPr>
      </w:pPr>
      <w:proofErr w:type="spellStart"/>
      <w:r>
        <w:rPr>
          <w:rFonts w:ascii="Arial" w:hAnsi="Arial" w:cs="Arial"/>
          <w:sz w:val="24"/>
          <w:szCs w:val="24"/>
        </w:rPr>
        <w:t>Saltveit</w:t>
      </w:r>
      <w:proofErr w:type="spellEnd"/>
      <w:r>
        <w:rPr>
          <w:rFonts w:ascii="Arial" w:hAnsi="Arial" w:cs="Arial"/>
          <w:sz w:val="24"/>
          <w:szCs w:val="24"/>
        </w:rPr>
        <w:t xml:space="preserve">, M.E. (2004) Effect of 1-methylcyclopropene on phenylpropanoid metabolism, the accumulation of phenolic compounds, and browning of whole and fresh-cut ‘iceberg’ lettuce. </w:t>
      </w:r>
      <w:proofErr w:type="spellStart"/>
      <w:r>
        <w:rPr>
          <w:rFonts w:ascii="Arial" w:hAnsi="Arial" w:cs="Arial"/>
          <w:i/>
          <w:iCs/>
          <w:sz w:val="24"/>
          <w:szCs w:val="24"/>
        </w:rPr>
        <w:t>Postharv</w:t>
      </w:r>
      <w:proofErr w:type="spellEnd"/>
      <w:r>
        <w:rPr>
          <w:rFonts w:ascii="Arial" w:hAnsi="Arial" w:cs="Arial"/>
          <w:i/>
          <w:iCs/>
          <w:sz w:val="24"/>
          <w:szCs w:val="24"/>
        </w:rPr>
        <w:t xml:space="preserve"> bio, 34</w:t>
      </w:r>
      <w:r>
        <w:rPr>
          <w:rFonts w:ascii="Arial" w:hAnsi="Arial" w:cs="Arial"/>
          <w:sz w:val="24"/>
          <w:szCs w:val="24"/>
        </w:rPr>
        <w:t xml:space="preserve">, 75-80. </w:t>
      </w:r>
      <w:hyperlink r:id="rId5" w:history="1">
        <w:r w:rsidRPr="005D1619">
          <w:rPr>
            <w:rStyle w:val="Hyperlink"/>
            <w:rFonts w:ascii="Arial" w:hAnsi="Arial" w:cs="Arial"/>
            <w:sz w:val="24"/>
            <w:szCs w:val="24"/>
          </w:rPr>
          <w:t>https://doi.org</w:t>
        </w:r>
        <w:r w:rsidRPr="005D1619">
          <w:rPr>
            <w:rStyle w:val="Hyperlink"/>
            <w:rFonts w:ascii="Arial" w:hAnsi="Arial" w:cs="Arial"/>
            <w:sz w:val="24"/>
            <w:szCs w:val="24"/>
          </w:rPr>
          <w:t>/1</w:t>
        </w:r>
        <w:r w:rsidRPr="005D1619">
          <w:rPr>
            <w:rStyle w:val="Hyperlink"/>
            <w:rFonts w:ascii="Arial" w:hAnsi="Arial" w:cs="Arial"/>
            <w:sz w:val="24"/>
            <w:szCs w:val="24"/>
          </w:rPr>
          <w:t>0.1016/j.post</w:t>
        </w:r>
        <w:r w:rsidRPr="005D1619">
          <w:rPr>
            <w:rStyle w:val="Hyperlink"/>
            <w:rFonts w:ascii="Arial" w:hAnsi="Arial" w:cs="Arial"/>
            <w:sz w:val="24"/>
            <w:szCs w:val="24"/>
          </w:rPr>
          <w:t>h</w:t>
        </w:r>
        <w:r w:rsidRPr="005D1619">
          <w:rPr>
            <w:rStyle w:val="Hyperlink"/>
            <w:rFonts w:ascii="Arial" w:hAnsi="Arial" w:cs="Arial"/>
            <w:sz w:val="24"/>
            <w:szCs w:val="24"/>
          </w:rPr>
          <w:t>arvbio.2004.05.001</w:t>
        </w:r>
      </w:hyperlink>
    </w:p>
    <w:p w14:paraId="4F12D7E8" w14:textId="77777777" w:rsidR="00C9271F" w:rsidRDefault="00C9271F" w:rsidP="00C9271F">
      <w:pPr>
        <w:spacing w:after="240" w:line="276" w:lineRule="auto"/>
        <w:rPr>
          <w:rFonts w:ascii="Arial" w:hAnsi="Arial" w:cs="Arial"/>
          <w:sz w:val="24"/>
          <w:szCs w:val="24"/>
        </w:rPr>
      </w:pPr>
      <w:r>
        <w:rPr>
          <w:rFonts w:ascii="Arial" w:hAnsi="Arial" w:cs="Arial"/>
          <w:sz w:val="24"/>
          <w:szCs w:val="24"/>
        </w:rPr>
        <w:t xml:space="preserve">Yang, W., Feng, H., Zhang, X., Zhang, J., </w:t>
      </w:r>
      <w:proofErr w:type="spellStart"/>
      <w:r>
        <w:rPr>
          <w:rFonts w:ascii="Arial" w:hAnsi="Arial" w:cs="Arial"/>
          <w:sz w:val="24"/>
          <w:szCs w:val="24"/>
        </w:rPr>
        <w:t>Doonan</w:t>
      </w:r>
      <w:proofErr w:type="spellEnd"/>
      <w:r>
        <w:rPr>
          <w:rFonts w:ascii="Arial" w:hAnsi="Arial" w:cs="Arial"/>
          <w:sz w:val="24"/>
          <w:szCs w:val="24"/>
        </w:rPr>
        <w:t xml:space="preserve">, J.H., Batchelor, W.D., </w:t>
      </w:r>
      <w:proofErr w:type="spellStart"/>
      <w:r>
        <w:rPr>
          <w:rFonts w:ascii="Arial" w:hAnsi="Arial" w:cs="Arial"/>
          <w:sz w:val="24"/>
          <w:szCs w:val="24"/>
        </w:rPr>
        <w:t>Xiong</w:t>
      </w:r>
      <w:proofErr w:type="spellEnd"/>
      <w:r>
        <w:rPr>
          <w:rFonts w:ascii="Arial" w:hAnsi="Arial" w:cs="Arial"/>
          <w:sz w:val="24"/>
          <w:szCs w:val="24"/>
        </w:rPr>
        <w:t xml:space="preserve">, L., and Yan, J. (2020). Crop Phenomics and High-Throughput Phenotyping: Past Decades, Current Challenges, and Future Perspectives. </w:t>
      </w:r>
      <w:r>
        <w:rPr>
          <w:rFonts w:ascii="Arial" w:hAnsi="Arial" w:cs="Arial"/>
          <w:i/>
          <w:iCs/>
          <w:sz w:val="24"/>
          <w:szCs w:val="24"/>
        </w:rPr>
        <w:t>Mol Plant, 13</w:t>
      </w:r>
      <w:r>
        <w:rPr>
          <w:rFonts w:ascii="Arial" w:hAnsi="Arial" w:cs="Arial"/>
          <w:sz w:val="24"/>
          <w:szCs w:val="24"/>
        </w:rPr>
        <w:t xml:space="preserve">, 187-214. </w:t>
      </w:r>
      <w:hyperlink r:id="rId6" w:history="1">
        <w:r w:rsidRPr="005D1619">
          <w:rPr>
            <w:rStyle w:val="Hyperlink"/>
            <w:rFonts w:ascii="Arial" w:hAnsi="Arial" w:cs="Arial"/>
            <w:sz w:val="24"/>
            <w:szCs w:val="24"/>
          </w:rPr>
          <w:t>https://doi.org/10.1016/j.molp.2020.01.008</w:t>
        </w:r>
      </w:hyperlink>
    </w:p>
    <w:p w14:paraId="0AE6616B" w14:textId="77777777" w:rsidR="00C9271F" w:rsidRDefault="00C9271F" w:rsidP="00F92EA6">
      <w:pPr>
        <w:spacing w:after="240" w:line="276" w:lineRule="auto"/>
        <w:rPr>
          <w:rFonts w:ascii="Arial" w:hAnsi="Arial" w:cs="Arial"/>
          <w:sz w:val="24"/>
          <w:szCs w:val="24"/>
        </w:rPr>
      </w:pPr>
    </w:p>
    <w:p w14:paraId="08A2A8F2" w14:textId="68FDA26C" w:rsidR="00F92EA6" w:rsidRPr="00F92EA6" w:rsidRDefault="00F92EA6" w:rsidP="00F92EA6">
      <w:pPr>
        <w:spacing w:after="240" w:line="276" w:lineRule="auto"/>
        <w:rPr>
          <w:rFonts w:ascii="Arial" w:hAnsi="Arial" w:cs="Arial"/>
          <w:color w:val="FF0000"/>
          <w:sz w:val="24"/>
          <w:szCs w:val="24"/>
        </w:rPr>
      </w:pPr>
      <w:r>
        <w:rPr>
          <w:rFonts w:ascii="Arial" w:hAnsi="Arial" w:cs="Arial"/>
          <w:color w:val="FF0000"/>
          <w:sz w:val="24"/>
          <w:szCs w:val="24"/>
        </w:rPr>
        <w:lastRenderedPageBreak/>
        <w:t>I have the git repository set as private right now, but can make it public once the paper is submitted</w:t>
      </w:r>
    </w:p>
    <w:sectPr w:rsidR="00F92EA6" w:rsidRPr="00F92E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2ED"/>
    <w:rsid w:val="00085751"/>
    <w:rsid w:val="001A75DF"/>
    <w:rsid w:val="00275739"/>
    <w:rsid w:val="0035170C"/>
    <w:rsid w:val="00573E16"/>
    <w:rsid w:val="005D5504"/>
    <w:rsid w:val="00676D03"/>
    <w:rsid w:val="00706F33"/>
    <w:rsid w:val="00807E1B"/>
    <w:rsid w:val="008E0494"/>
    <w:rsid w:val="008F7A05"/>
    <w:rsid w:val="009364FD"/>
    <w:rsid w:val="00956A3B"/>
    <w:rsid w:val="00A742ED"/>
    <w:rsid w:val="00AE2991"/>
    <w:rsid w:val="00AF1364"/>
    <w:rsid w:val="00C9271F"/>
    <w:rsid w:val="00CB7197"/>
    <w:rsid w:val="00CC4E71"/>
    <w:rsid w:val="00CD601F"/>
    <w:rsid w:val="00D95A6E"/>
    <w:rsid w:val="00DC49F3"/>
    <w:rsid w:val="00E7766D"/>
    <w:rsid w:val="00EA430C"/>
    <w:rsid w:val="00F45DBE"/>
    <w:rsid w:val="00F92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34452"/>
  <w15:chartTrackingRefBased/>
  <w15:docId w15:val="{3CE044ED-ADD3-4218-8348-35B62E52D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742ED"/>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9364FD"/>
    <w:rPr>
      <w:color w:val="0563C1" w:themeColor="hyperlink"/>
      <w:u w:val="single"/>
    </w:rPr>
  </w:style>
  <w:style w:type="character" w:styleId="UnresolvedMention">
    <w:name w:val="Unresolved Mention"/>
    <w:basedOn w:val="DefaultParagraphFont"/>
    <w:uiPriority w:val="99"/>
    <w:semiHidden/>
    <w:unhideWhenUsed/>
    <w:rsid w:val="009364FD"/>
    <w:rPr>
      <w:color w:val="605E5C"/>
      <w:shd w:val="clear" w:color="auto" w:fill="E1DFDD"/>
    </w:rPr>
  </w:style>
  <w:style w:type="character" w:styleId="FollowedHyperlink">
    <w:name w:val="FollowedHyperlink"/>
    <w:basedOn w:val="DefaultParagraphFont"/>
    <w:uiPriority w:val="99"/>
    <w:semiHidden/>
    <w:unhideWhenUsed/>
    <w:rsid w:val="002757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16/j.molp.2020.01.008" TargetMode="External"/><Relationship Id="rId5" Type="http://schemas.openxmlformats.org/officeDocument/2006/relationships/hyperlink" Target="https://doi.org/10.1016/j.postharvbio.2004.05.001" TargetMode="External"/><Relationship Id="rId4" Type="http://schemas.openxmlformats.org/officeDocument/2006/relationships/hyperlink" Target="https://doi.org/10.1002/jsfa.78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843</Words>
  <Characters>4809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Askey</dc:creator>
  <cp:keywords/>
  <dc:description/>
  <cp:lastModifiedBy>Bryce Askey</cp:lastModifiedBy>
  <cp:revision>2</cp:revision>
  <dcterms:created xsi:type="dcterms:W3CDTF">2020-05-20T03:53:00Z</dcterms:created>
  <dcterms:modified xsi:type="dcterms:W3CDTF">2020-05-20T03:53:00Z</dcterms:modified>
</cp:coreProperties>
</file>