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THE ART SERIES</w:t>
      </w:r>
    </w:p>
    <w:p>
      <w:pPr>
        <w:spacing w:after="320"/>
      </w:pPr>
      <w:r>
        <w:rPr>
          <w:i/>
          <w:iCs/>
          <w:sz w:val="22"/>
          <w:szCs w:val="22"/>
        </w:rPr>
        <w:t xml:space="preserve">12-24 week study series. Recreate one iconic frame from each master to evolve the eye.</w:t>
      </w:r>
    </w:p>
    <w:p>
      <w:pPr>
        <w:spacing w:after="160"/>
      </w:pPr>
      <w:r>
        <w:t xml:space="preserve">Nine photographers. Four phases. Eighteen weeks at default pace. Order matters more than the list does. The shape of it: confidence, depth, narrative, surrender. Start in the lane, build outward, end somewhere you cannot see from here. That is the sequence that produces a body of work, not a checklist.</w:t>
      </w:r>
    </w:p>
    <w:p>
      <w:pPr>
        <w:spacing w:after="160"/>
      </w:pPr>
      <w:r>
        <w:t xml:space="preserve">If a frame takes three weeks instead of two, take three. If one takes a weekend, use the rest of the time to shoot personal work in the language you just learned. The schedule serves the study, not the other way around.</w:t>
      </w:r>
    </w:p>
    <w:p>
      <w:pPr>
        <w:pStyle w:val="Heading1"/>
      </w:pPr>
      <w:r>
        <w:t xml:space="preserve">Phase 1. Sharpen what you already do. Weeks 1-6.</w:t>
      </w:r>
    </w:p>
    <w:p>
      <w:pPr>
        <w:spacing w:after="160"/>
      </w:pPr>
      <w:r>
        <w:t xml:space="preserve">Closest match to the aesthetic statement. Recreating these looks like elevated SNIPED work. Fast grid wins and proof the methodology produces output.</w:t>
      </w:r>
    </w:p>
    <w:p>
      <w:pPr>
        <w:pStyle w:val="Heading2"/>
      </w:pPr>
      <w:r>
        <w:t xml:space="preserve">1. Richard Avedon. Boyd Fortin, thirteen-year-old rattlesnake skinner, Sweetwater, Texas, 1979.</w:t>
      </w:r>
    </w:p>
    <w:p>
      <w:pPr>
        <w:spacing w:after="160"/>
      </w:pPr>
      <w:r>
        <w:t xml:space="preserve">White paper backdrop, blood-streaked apron, dead snake held wide. Direct match for monochromatic discipline and jawline-forward direction. The frame is a clinic in how a stripped backdrop forces every decision to live or die on the subject's geometry. Start here. If the recreation works, the bar is calibrated for the rest of the series. If it doesn't, the gap surfaces before sixteen more weeks get wasted.</w:t>
      </w:r>
    </w:p>
    <w:p>
      <w:pPr>
        <w:pStyle w:val="Heading2"/>
      </w:pPr>
      <w:r>
        <w:t xml:space="preserve">2. William Eggleston. The Red Ceiling, 1973.</w:t>
      </w:r>
    </w:p>
    <w:p>
      <w:pPr>
        <w:spacing w:after="160"/>
      </w:pPr>
      <w:r>
        <w:t xml:space="preserve">Saturated red room, single bare bulb, white wires radiating from center. Pure monochromatic torque. This frame teaches what color blocking can do when it stops being styling and becomes structure. Stays in color discipline, adds central-core composition. One new muscle, no system break.</w:t>
      </w:r>
    </w:p>
    <w:p>
      <w:pPr>
        <w:pStyle w:val="Heading2"/>
      </w:pPr>
      <w:r>
        <w:t xml:space="preserve">3. Annie Leibovitz. Whoopi Goldberg in a bathtub of milk, 1984.</w:t>
      </w:r>
    </w:p>
    <w:p>
      <w:pPr>
        <w:spacing w:after="160"/>
      </w:pPr>
      <w:r>
        <w:t xml:space="preserve">Pure monochromatic color blocking taken to an extreme. Subject inside a single-color environment with the body integrated as part of the palette. Adds concept on top of monochromatic discipline. By week 6 the void, the color torque, and the conceptual layer are all in hand. Three frames that live next to each other on the grid.</w:t>
      </w:r>
    </w:p>
    <w:p>
      <w:pPr>
        <w:pStyle w:val="Heading1"/>
      </w:pPr>
      <w:r>
        <w:t xml:space="preserve">Phase 2. Build dimensionality. Weeks 7-10.</w:t>
      </w:r>
    </w:p>
    <w:p>
      <w:pPr>
        <w:spacing w:after="160"/>
      </w:pPr>
      <w:r>
        <w:t xml:space="preserve">Now point everything at the depth weakness from the audit.</w:t>
      </w:r>
    </w:p>
    <w:p>
      <w:pPr>
        <w:pStyle w:val="Heading2"/>
      </w:pPr>
      <w:r>
        <w:t xml:space="preserve">4. Stephen Shore. Breakfast, Trail's End Restaurant, Kanab, Utah, 1973.</w:t>
      </w:r>
    </w:p>
    <w:p>
      <w:pPr>
        <w:spacing w:after="160"/>
      </w:pPr>
      <w:r>
        <w:t xml:space="preserve">The pancakes-and-orange-juice plate. Large format discipline, edge-to-edge sharpness. Forces foreground, midground, and background to be treated with equal respect. Direct hit on the depth weak spot.</w:t>
      </w:r>
    </w:p>
    <w:p>
      <w:pPr>
        <w:pStyle w:val="Heading2"/>
      </w:pPr>
      <w:r>
        <w:t xml:space="preserve">5. Fred Herzog. Man with Bandage, 1968.</w:t>
      </w:r>
    </w:p>
    <w:p>
      <w:pPr>
        <w:spacing w:after="160"/>
      </w:pPr>
      <w:r>
        <w:t xml:space="preserve">Tight street portrait, restrained palette, no high-contrast lighting, color carrying the mood. Studies how to build emotional weight without dramatic light. Bridges studio control to ambient observation. Stays in the strength while moving toward documentary territory.</w:t>
      </w:r>
    </w:p>
    <w:p>
      <w:pPr>
        <w:pStyle w:val="Heading1"/>
      </w:pPr>
      <w:r>
        <w:t xml:space="preserve">Phase 3. Narrative and the in-between. Weeks 11-14.</w:t>
      </w:r>
    </w:p>
    <w:p>
      <w:pPr>
        <w:spacing w:after="160"/>
      </w:pPr>
      <w:r>
        <w:t xml:space="preserve">Growth zone. The point where the recreations stop feeling natural.</w:t>
      </w:r>
    </w:p>
    <w:p>
      <w:pPr>
        <w:pStyle w:val="Heading2"/>
      </w:pPr>
      <w:r>
        <w:t xml:space="preserve">6. Robert Frank. Trolley, New Orleans, 1955.</w:t>
      </w:r>
    </w:p>
    <w:p>
      <w:pPr>
        <w:spacing w:after="160"/>
      </w:pPr>
      <w:r>
        <w:t xml:space="preserve">Five faces framed in trolley windows, each in their own emotional state. The in-between captured in five subjects simultaneously. Recreate this and you are forced to direct five micro-narratives in one frame. Anti-everything The Direction Stack is built on, which is the point. The book is on managing the pose. Now learn what gets captured when nobody is being managed.</w:t>
      </w:r>
    </w:p>
    <w:p>
      <w:pPr>
        <w:pStyle w:val="Heading2"/>
      </w:pPr>
      <w:r>
        <w:t xml:space="preserve">7. Joel Meyerowitz. Porch, Provincetown, 1977.</w:t>
      </w:r>
    </w:p>
    <w:p>
      <w:pPr>
        <w:spacing w:after="160"/>
      </w:pPr>
      <w:r>
        <w:t xml:space="preserve">Soft late-afternoon light, restrained palette, narrative weight carried entirely by mood. Controlled experiment in losing the graphic crutch and letting atmosphere do the work. Hardest one of the documentary set because there is no system to execute against. Sit, wait, watch the light.</w:t>
      </w:r>
    </w:p>
    <w:p>
      <w:pPr>
        <w:pStyle w:val="Heading1"/>
      </w:pPr>
      <w:r>
        <w:t xml:space="preserve">Phase 4. Break the system. Weeks 15-18.</w:t>
      </w:r>
    </w:p>
    <w:p>
      <w:pPr>
        <w:spacing w:after="160"/>
      </w:pPr>
      <w:r>
        <w:t xml:space="preserve">Wild cards. By now the aesthetic should feel tired. Good. Time to deliberately leave it.</w:t>
      </w:r>
    </w:p>
    <w:p>
      <w:pPr>
        <w:pStyle w:val="Heading2"/>
      </w:pPr>
      <w:r>
        <w:t xml:space="preserve">8. Graciela Iturbide. Nuestra Señora de las Iguanas, Juchitán, 1979.</w:t>
      </w:r>
    </w:p>
    <w:p>
      <w:pPr>
        <w:spacing w:after="160"/>
      </w:pPr>
      <w:r>
        <w:t xml:space="preserve">Woman with live iguanas crowning her head, stark B&amp;W, severe pose, mythic weight. Severe posing with story attached. No color blocking. No studio. Pulls out of color entirely and forces the aesthetic to live in shape, contrast, and narrative alone. The pose discipline carries forward from Avedon at the start. Everything else is alien. This frame closes a loop you didn't know you opened.</w:t>
      </w:r>
    </w:p>
    <w:p>
      <w:pPr>
        <w:pStyle w:val="Heading2"/>
      </w:pPr>
      <w:r>
        <w:t xml:space="preserve">9. Ernst Haas. Bullfight, Spain, 1956. Slow-shutter motion blur.</w:t>
      </w:r>
    </w:p>
    <w:p>
      <w:pPr>
        <w:spacing w:after="160"/>
      </w:pPr>
      <w:r>
        <w:t xml:space="preserve">Graduation move. By week 17 there are eight recreations of intentional, controlled, constructed frames in the bag. Haas asks for that to be given up. Slow shutter, deliberate blur, accept what the camera does without you. Direct counter to the every-frame-is-constructed reflex. Teaches that intentional blur can carry more emotional weight than razor-sharp posing. Recreating this means deliberately giving up the control the aesthetic depends on, which is exactly the point. The lesson arrives last because you wouldn't believe it first.</w:t>
      </w:r>
    </w:p>
    <w:p>
      <w:pPr>
        <w:pStyle w:val="Heading1"/>
      </w:pPr>
      <w:r>
        <w:t xml:space="preserve">Notes</w:t>
      </w:r>
    </w:p>
    <w:p>
      <w:pPr>
        <w:spacing w:after="160"/>
      </w:pPr>
      <w:r>
        <w:t xml:space="preserve">Drop Izis. Lyrical, poetic, soft-focus Paris romanticism. The opposite of the aesthetic without being a productive opposite. Iturbide already covers the B&amp;W growth. Meyerowitz already covers the atmospheric growth. Izis is just further in a direction that doesn't sharpen anything usable.</w:t>
      </w:r>
    </w:p>
    <w:p>
      <w:pPr>
        <w:spacing w:after="160"/>
      </w:pPr>
      <w:r>
        <w:t xml:space="preserve">Contemporary working photographers bucket: not filled from the source doc. Every name in there is a historical master. Worth filling later, but a different exercise. Going to the original source material is the only move that actually exceeds the contemporary peer group. Avedon, Frank, Eggleston are the source the modern guys are downstream of.</w:t>
      </w:r>
    </w:p>
    <w:p>
      <w:pPr>
        <w:spacing w:after="160"/>
      </w:pPr>
      <w:r>
        <w:t xml:space="preserve">Re-run the 8-criteria audit on each recreation when delivered. Compare scores against the archive baseline. The numbers tell you whether the study is working.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pPr>
    <w:rPr>
      <w:rFonts w:ascii="Arial" w:cs="Arial" w:eastAsia="Arial" w:hAnsi="Arial"/>
      <w:b/>
      <w:bCs/>
      <w:sz w:val="40"/>
      <w:szCs w:val="4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2026-04-27T17:15:11.560Z</dcterms:created>
  <dcterms:modified xsi:type="dcterms:W3CDTF">2026-04-27T17:15:11.561Z</dcterms:modified>
</cp:coreProperties>
</file>

<file path=docProps/custom.xml><?xml version="1.0" encoding="utf-8"?>
<Properties xmlns="http://schemas.openxmlformats.org/officeDocument/2006/custom-properties" xmlns:vt="http://schemas.openxmlformats.org/officeDocument/2006/docPropsVTypes"/>
</file>