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i w:val="false"/>
          <w:iCs w:val="false"/>
          <w:color w:val="1A1A2E"/>
          <w:sz w:val="52"/>
          <w:szCs w:val="52"/>
        </w:rPr>
        <w:t xml:space="preserve">The Business Operations Playbook</w:t>
      </w:r>
    </w:p>
    <w:p>
      <w:pPr>
        <w:spacing w:after="100"/>
        <w:jc w:val="center"/>
      </w:pPr>
      <w:r>
        <w:rPr>
          <w:rFonts w:ascii="Arial" w:cs="Arial" w:eastAsia="Arial" w:hAnsi="Arial"/>
          <w:b w:val="false"/>
          <w:bCs w:val="false"/>
          <w:i w:val="false"/>
          <w:iCs w:val="false"/>
          <w:color w:val="2E75B6"/>
          <w:sz w:val="24"/>
          <w:szCs w:val="24"/>
        </w:rPr>
        <w:t xml:space="preserve">Legal, Financial, Client Ops, HR, Sales, SOPs, Automation &amp; Growth</w:t>
      </w:r>
    </w:p>
    <w:p>
      <w:pPr>
        <w:pBdr>
          <w:bottom w:val="single" w:color="2E75B6" w:sz="6" w:space="1"/>
        </w:pBdr>
        <w:spacing w:after="600"/>
        <w:jc w:val="center"/>
      </w:pPr>
      <w:r>
        <w:rPr>
          <w:sz w:val="12"/>
          <w:szCs w:val="12"/>
        </w:rPr>
        <w:t xml:space="preserve"> </w:t>
      </w:r>
    </w:p>
    <w:p>
      <w:pPr>
        <w:spacing w:after="300"/>
      </w:pPr>
    </w:p>
    <w:p>
      <w:pPr>
        <w:spacing w:after="100"/>
        <w:jc w:val="center"/>
      </w:pPr>
      <w:r>
        <w:rPr>
          <w:rFonts w:ascii="Arial" w:cs="Arial" w:eastAsia="Arial" w:hAnsi="Arial"/>
          <w:b w:val="false"/>
          <w:bCs w:val="false"/>
          <w:i/>
          <w:iCs/>
          <w:color w:val="555555"/>
          <w:sz w:val="20"/>
          <w:szCs w:val="20"/>
        </w:rPr>
        <w:t xml:space="preserve">Synthesized from a 16-page research report with citations from IRS, SBA, DOL, USPTO, FTC, SHRM, EEOC, HBR, Gallup, ACFE, and core operating-system literature.</w:t>
      </w:r>
    </w:p>
    <w:p>
      <w:pPr>
        <w:spacing w:after="100"/>
      </w:pP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Most businesses drown in the wrong documents and starve for the right ones. The documents that save you (a signed operating agreement, a contract with a liability cap, a 13-week cash forecast, weekly 1:1s) cost almost nothing to create. The documents that waste you (40-page strategic plans, Salesforce at three employees, brand books before product-market fit, annual performance reviews in lieu of weekly feedback) consume real budget and produce theater. Standardize before you automate, document only what breaks, and never buy enterprise tooling for a small-business problem.</w:t>
      </w:r>
    </w:p>
    <w:p>
      <w:r>
        <w:br w:type="page"/>
      </w:r>
    </w:p>
    <w:p>
      <w:pPr>
        <w:pStyle w:val="Heading1"/>
      </w:pPr>
      <w:r>
        <w:rPr>
          <w:rFonts w:ascii="Arial" w:cs="Arial" w:eastAsia="Arial" w:hAnsi="Arial"/>
          <w:b/>
          <w:bCs/>
        </w:rPr>
        <w:t xml:space="preserve">1. Legal and Compliance</w:t>
      </w:r>
    </w:p>
    <w:p>
      <w:pPr>
        <w:pStyle w:val="Heading2"/>
      </w:pPr>
      <w:r>
        <w:rPr>
          <w:rFonts w:ascii="Arial" w:cs="Arial" w:eastAsia="Arial" w:hAnsi="Arial"/>
          <w:b/>
          <w:bCs/>
        </w:rPr>
        <w:t xml:space="preserve">1.1 Entity Formation</w:t>
      </w:r>
    </w:p>
    <w:p>
      <w:pPr>
        <w:spacing w:after="160"/>
      </w:pPr>
      <w:r>
        <w:rPr>
          <w:rFonts w:ascii="Arial" w:cs="Arial" w:eastAsia="Arial" w:hAnsi="Arial"/>
          <w:b/>
          <w:bCs/>
          <w:color w:val="1A1A2E"/>
          <w:sz w:val="22"/>
          <w:szCs w:val="22"/>
        </w:rPr>
        <w:t xml:space="preserve">Default to a home-state LLC with an operating agreement. </w:t>
      </w:r>
      <w:r>
        <w:rPr>
          <w:rFonts w:ascii="Arial" w:cs="Arial" w:eastAsia="Arial" w:hAnsi="Arial"/>
          <w:color w:val="1A1A2E"/>
          <w:sz w:val="22"/>
          <w:szCs w:val="22"/>
        </w:rPr>
        <w:t xml:space="preserve">State filing fees run $50 to $500. The operating agreement is what actually preserves the liability shield. Skipping it, even for single-member LLCs, is the most common mistake. Delaware C-corps for two-person consulting firms add ~$300/year in franchise tax and two separate tax returns for zero benefit. Delaware is appropriate only when raising institutional VC, creating multiple share classes, or planning an IPO. Convert later.</w:t>
      </w:r>
    </w:p>
    <w:p>
      <w:pPr>
        <w:spacing w:after="160"/>
      </w:pPr>
      <w:r>
        <w:rPr>
          <w:rFonts w:ascii="Arial" w:cs="Arial" w:eastAsia="Arial" w:hAnsi="Arial"/>
          <w:b/>
          <w:bCs/>
          <w:color w:val="1A1A2E"/>
          <w:sz w:val="22"/>
          <w:szCs w:val="22"/>
        </w:rPr>
        <w:t xml:space="preserve">Founder agreements: </w:t>
      </w:r>
      <w:r>
        <w:rPr>
          <w:rFonts w:ascii="Arial" w:cs="Arial" w:eastAsia="Arial" w:hAnsi="Arial"/>
          <w:color w:val="1A1A2E"/>
          <w:sz w:val="22"/>
          <w:szCs w:val="22"/>
        </w:rPr>
        <w:t xml:space="preserve">Mandatory any time there's more than one founder. Four-year vesting, one-year cliff, and present IP assignment. Missing the 83(b) election within 30 days of restricted-stock grant is irreversible and can cost six figures at exit.</w:t>
      </w:r>
    </w:p>
    <w:p>
      <w:pPr>
        <w:pStyle w:val="Heading2"/>
      </w:pPr>
      <w:r>
        <w:rPr>
          <w:rFonts w:ascii="Arial" w:cs="Arial" w:eastAsia="Arial" w:hAnsi="Arial"/>
          <w:b/>
          <w:bCs/>
        </w:rPr>
        <w:t xml:space="preserve">1.2 Client Contracts (The 10-Clause Template)</w:t>
      </w:r>
    </w:p>
    <w:p>
      <w:pPr>
        <w:spacing w:after="160"/>
      </w:pPr>
      <w:r>
        <w:rPr>
          <w:rFonts w:ascii="Arial" w:cs="Arial" w:eastAsia="Arial" w:hAnsi="Arial"/>
          <w:b w:val="false"/>
          <w:bCs w:val="false"/>
          <w:i w:val="false"/>
          <w:iCs w:val="false"/>
          <w:color w:val="1A1A2E"/>
          <w:sz w:val="22"/>
          <w:szCs w:val="22"/>
        </w:rPr>
        <w:t xml:space="preserve">Every master service agreement needs these ten clauses working together. Build a master template with an attorney for $1,500 to $5,000, then reuse it forever:</w:t>
      </w:r>
    </w:p>
    <w:p>
      <w:pPr>
        <w:pStyle w:val="ListParagraph"/>
        <w:numPr>
          <w:ilvl w:val="0"/>
          <w:numId w:val="2"/>
        </w:numPr>
        <w:spacing w:after="100"/>
      </w:pPr>
      <w:r>
        <w:rPr>
          <w:rFonts w:ascii="Arial" w:cs="Arial" w:eastAsia="Arial" w:hAnsi="Arial"/>
          <w:sz w:val="22"/>
          <w:szCs w:val="22"/>
        </w:rPr>
        <w:t xml:space="preserve">Scope with an explicit out-of-scope list (the single biggest scope-creep defense)</w:t>
      </w:r>
    </w:p>
    <w:p>
      <w:pPr>
        <w:pStyle w:val="ListParagraph"/>
        <w:numPr>
          <w:ilvl w:val="0"/>
          <w:numId w:val="2"/>
        </w:numPr>
        <w:spacing w:after="100"/>
      </w:pPr>
      <w:r>
        <w:rPr>
          <w:rFonts w:ascii="Arial" w:cs="Arial" w:eastAsia="Arial" w:hAnsi="Arial"/>
          <w:sz w:val="22"/>
          <w:szCs w:val="22"/>
        </w:rPr>
        <w:t xml:space="preserve">Payment terms with late fees (1.5%/month is standard) and a right to stop work on non-payment</w:t>
      </w:r>
    </w:p>
    <w:p>
      <w:pPr>
        <w:pStyle w:val="ListParagraph"/>
        <w:numPr>
          <w:ilvl w:val="0"/>
          <w:numId w:val="2"/>
        </w:numPr>
        <w:spacing w:after="100"/>
      </w:pPr>
      <w:r>
        <w:rPr>
          <w:rFonts w:ascii="Arial" w:cs="Arial" w:eastAsia="Arial" w:hAnsi="Arial"/>
          <w:sz w:val="22"/>
          <w:szCs w:val="22"/>
        </w:rPr>
        <w:t xml:space="preserve">Termination for cause and convenience</w:t>
      </w:r>
    </w:p>
    <w:p>
      <w:pPr>
        <w:pStyle w:val="ListParagraph"/>
        <w:numPr>
          <w:ilvl w:val="0"/>
          <w:numId w:val="2"/>
        </w:numPr>
        <w:spacing w:after="100"/>
      </w:pPr>
      <w:r>
        <w:rPr>
          <w:rFonts w:ascii="Arial" w:cs="Arial" w:eastAsia="Arial" w:hAnsi="Arial"/>
          <w:sz w:val="22"/>
          <w:szCs w:val="22"/>
        </w:rPr>
        <w:t xml:space="preserve">IP ownership that transfers only on final payment</w:t>
      </w:r>
    </w:p>
    <w:p>
      <w:pPr>
        <w:pStyle w:val="ListParagraph"/>
        <w:numPr>
          <w:ilvl w:val="0"/>
          <w:numId w:val="2"/>
        </w:numPr>
        <w:spacing w:after="100"/>
      </w:pPr>
      <w:r>
        <w:rPr>
          <w:rFonts w:ascii="Arial" w:cs="Arial" w:eastAsia="Arial" w:hAnsi="Arial"/>
          <w:sz w:val="22"/>
          <w:szCs w:val="22"/>
        </w:rPr>
        <w:t xml:space="preserve">Liability cap at 1 to 2x fees paid in the prior 12 months</w:t>
      </w:r>
    </w:p>
    <w:p>
      <w:pPr>
        <w:pStyle w:val="ListParagraph"/>
        <w:numPr>
          <w:ilvl w:val="0"/>
          <w:numId w:val="2"/>
        </w:numPr>
        <w:spacing w:after="100"/>
      </w:pPr>
      <w:r>
        <w:rPr>
          <w:rFonts w:ascii="Arial" w:cs="Arial" w:eastAsia="Arial" w:hAnsi="Arial"/>
          <w:sz w:val="22"/>
          <w:szCs w:val="22"/>
        </w:rPr>
        <w:t xml:space="preserve">Mutual indemnification narrowly tied to IP and third-party claims</w:t>
      </w:r>
    </w:p>
    <w:p>
      <w:pPr>
        <w:pStyle w:val="ListParagraph"/>
        <w:numPr>
          <w:ilvl w:val="0"/>
          <w:numId w:val="2"/>
        </w:numPr>
        <w:spacing w:after="100"/>
      </w:pPr>
      <w:r>
        <w:rPr>
          <w:rFonts w:ascii="Arial" w:cs="Arial" w:eastAsia="Arial" w:hAnsi="Arial"/>
          <w:sz w:val="22"/>
          <w:szCs w:val="22"/>
        </w:rPr>
        <w:t xml:space="preserve">Disclaimer of implied warranties in ALL CAPS (most states require this)</w:t>
      </w:r>
    </w:p>
    <w:p>
      <w:pPr>
        <w:pStyle w:val="ListParagraph"/>
        <w:numPr>
          <w:ilvl w:val="0"/>
          <w:numId w:val="2"/>
        </w:numPr>
        <w:spacing w:after="100"/>
      </w:pPr>
      <w:r>
        <w:rPr>
          <w:rFonts w:ascii="Arial" w:cs="Arial" w:eastAsia="Arial" w:hAnsi="Arial"/>
          <w:sz w:val="22"/>
          <w:szCs w:val="22"/>
        </w:rPr>
        <w:t xml:space="preserve">Governing law and venue you can actually defend in</w:t>
      </w:r>
    </w:p>
    <w:p>
      <w:pPr>
        <w:pStyle w:val="ListParagraph"/>
        <w:numPr>
          <w:ilvl w:val="0"/>
          <w:numId w:val="2"/>
        </w:numPr>
        <w:spacing w:after="100"/>
      </w:pPr>
      <w:r>
        <w:rPr>
          <w:rFonts w:ascii="Arial" w:cs="Arial" w:eastAsia="Arial" w:hAnsi="Arial"/>
          <w:sz w:val="22"/>
          <w:szCs w:val="22"/>
        </w:rPr>
        <w:t xml:space="preserve">Force majeure clause explicitly naming pandemics and cyberattacks</w:t>
      </w:r>
    </w:p>
    <w:p>
      <w:pPr>
        <w:pStyle w:val="ListParagraph"/>
        <w:numPr>
          <w:ilvl w:val="0"/>
          <w:numId w:val="2"/>
        </w:numPr>
        <w:spacing w:after="100"/>
      </w:pPr>
      <w:r>
        <w:rPr>
          <w:rFonts w:ascii="Arial" w:cs="Arial" w:eastAsia="Arial" w:hAnsi="Arial"/>
          <w:sz w:val="22"/>
          <w:szCs w:val="22"/>
        </w:rPr>
        <w:t xml:space="preserve">Survival of confidentiality obligations</w:t>
      </w:r>
    </w:p>
    <w:p>
      <w:pPr>
        <w:spacing w:after="160"/>
      </w:pPr>
      <w:r>
        <w:rPr>
          <w:rFonts w:ascii="Arial" w:cs="Arial" w:eastAsia="Arial" w:hAnsi="Arial"/>
          <w:b w:val="false"/>
          <w:bCs w:val="false"/>
          <w:i w:val="false"/>
          <w:iCs w:val="false"/>
          <w:color w:val="1A1A2E"/>
          <w:sz w:val="22"/>
          <w:szCs w:val="22"/>
        </w:rPr>
        <w:t xml:space="preserve">The most expensive mistakes: vague scope (scope creep with no change-order process), uncapped liability, and venue in the client's home state 2,000 miles away.</w:t>
      </w:r>
    </w:p>
    <w:p>
      <w:pPr>
        <w:pStyle w:val="Heading2"/>
      </w:pPr>
      <w:r>
        <w:rPr>
          <w:rFonts w:ascii="Arial" w:cs="Arial" w:eastAsia="Arial" w:hAnsi="Arial"/>
          <w:b/>
          <w:bCs/>
        </w:rPr>
        <w:t xml:space="preserve">1.3 Contractor Classification</w:t>
      </w:r>
    </w:p>
    <w:p>
      <w:pPr>
        <w:spacing w:after="160"/>
      </w:pPr>
      <w:r>
        <w:rPr>
          <w:rFonts w:ascii="Arial" w:cs="Arial" w:eastAsia="Arial" w:hAnsi="Arial"/>
          <w:b w:val="false"/>
          <w:bCs w:val="false"/>
          <w:i w:val="false"/>
          <w:iCs w:val="false"/>
          <w:color w:val="1A1A2E"/>
          <w:sz w:val="22"/>
          <w:szCs w:val="22"/>
        </w:rPr>
        <w:t xml:space="preserve">Three tests apply simultaneously: the IRS common-law test (behavioral control, financial control, relationship type), the DOL FLSA economic-reality test, and your state's ABC test (~33 states). Misclassification penalties include back wages, FICA/FUTA with interest, 100% matching FICA, and up to 40% of unwithheld amounts.</w:t>
      </w:r>
    </w:p>
    <w:p>
      <w:pPr>
        <w:spacing w:after="160"/>
      </w:pPr>
      <w:r>
        <w:rPr>
          <w:rFonts w:ascii="Arial" w:cs="Arial" w:eastAsia="Arial" w:hAnsi="Arial"/>
          <w:b/>
          <w:bCs/>
          <w:color w:val="1A1A2E"/>
          <w:sz w:val="22"/>
          <w:szCs w:val="22"/>
        </w:rPr>
        <w:t xml:space="preserve">The work-for-hire trap: </w:t>
      </w:r>
      <w:r>
        <w:rPr>
          <w:rFonts w:ascii="Arial" w:cs="Arial" w:eastAsia="Arial" w:hAnsi="Arial"/>
          <w:color w:val="1A1A2E"/>
          <w:sz w:val="22"/>
          <w:szCs w:val="22"/>
        </w:rPr>
        <w:t xml:space="preserve">Under 17 U.S.C. §101, contractor work is 'work for hire' only if there's a signed written agreement AND the work falls into one of nine narrow categories. Most commissioned SMB work (logos, websites, code, marketing copy) does not qualify. The contractor keeps the copyright by default. Every contractor agreement needs both work-for-hire language and a present assignment as backup. In California, pure work-for-hire language can reclassify the contractor as a statutory employee. Use assignment-only language there.</w:t>
      </w:r>
    </w:p>
    <w:p>
      <w:pPr>
        <w:spacing w:after="160"/>
      </w:pPr>
      <w:r>
        <w:rPr>
          <w:rFonts w:ascii="Arial" w:cs="Arial" w:eastAsia="Arial" w:hAnsi="Arial"/>
          <w:b/>
          <w:bCs/>
          <w:color w:val="1A1A2E"/>
          <w:sz w:val="22"/>
          <w:szCs w:val="22"/>
        </w:rPr>
        <w:t xml:space="preserve">Non-competes are dead as primary protection. </w:t>
      </w:r>
      <w:r>
        <w:rPr>
          <w:rFonts w:ascii="Arial" w:cs="Arial" w:eastAsia="Arial" w:hAnsi="Arial"/>
          <w:color w:val="1A1A2E"/>
          <w:sz w:val="22"/>
          <w:szCs w:val="22"/>
        </w:rPr>
        <w:t xml:space="preserve">The FTC's federal ban was vacated in August 2024; four states ban them outright (California, North Dakota, Oklahoma, Minnesota). Use narrowly tailored NDAs, non-solicits, and a documented trade-secret program instead.</w:t>
      </w:r>
    </w:p>
    <w:p>
      <w:pPr>
        <w:pStyle w:val="Heading2"/>
      </w:pPr>
      <w:r>
        <w:rPr>
          <w:rFonts w:ascii="Arial" w:cs="Arial" w:eastAsia="Arial" w:hAnsi="Arial"/>
          <w:b/>
          <w:bCs/>
        </w:rPr>
        <w:t xml:space="preserve">1.4 Insurance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22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 (Annual)</w:t>
            </w:r>
          </w:p>
        </w:tc>
        <w:tc>
          <w:tcPr>
            <w:tcW w:type="dxa" w:w="496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Essential</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General Liability</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$500-$1,200</w:t>
            </w:r>
          </w:p>
        </w:tc>
        <w:tc>
          <w:tcPr>
            <w:tcW w:type="dxa" w:w="49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Day one. Often required by leases and clients.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Professional / E&amp;O</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$700-$1,500</w:t>
            </w:r>
          </w:p>
        </w:tc>
        <w:tc>
          <w:tcPr>
            <w:tcW w:type="dxa" w:w="49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Any advice-giving or service business.</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Workers' Comp</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$75-$140/mo</w:t>
            </w:r>
          </w:p>
        </w:tc>
        <w:tc>
          <w:tcPr>
            <w:tcW w:type="dxa" w:w="49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At first W-2 employee (49 states; Texas optional).</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Cyber Liability</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$1,500-$2,000</w:t>
            </w:r>
          </w:p>
        </w:tc>
        <w:tc>
          <w:tcPr>
            <w:tcW w:type="dxa" w:w="49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Any business handling PII or payments.</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BOP (GL + Property)</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$684-$1,687</w:t>
            </w:r>
          </w:p>
        </w:tc>
        <w:tc>
          <w:tcPr>
            <w:tcW w:type="dxa" w:w="49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Physical location, inventory, or equipment.</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EPLI</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~$2,665</w:t>
            </w:r>
          </w:p>
        </w:tc>
        <w:tc>
          <w:tcPr>
            <w:tcW w:type="dxa" w:w="49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Critical at 5+ employees.</w:t>
            </w:r>
          </w:p>
        </w:tc>
      </w:tr>
    </w:tbl>
    <w:p>
      <w:pPr>
        <w:spacing w:after="120"/>
      </w:pPr>
    </w:p>
    <w:p>
      <w:pPr>
        <w:spacing w:after="160"/>
      </w:pPr>
      <w:r>
        <w:rPr>
          <w:rFonts w:ascii="Arial" w:cs="Arial" w:eastAsia="Arial" w:hAnsi="Arial"/>
          <w:b w:val="false"/>
          <w:bCs w:val="false"/>
          <w:i w:val="false"/>
          <w:iCs w:val="false"/>
          <w:color w:val="1A1A2E"/>
          <w:sz w:val="22"/>
          <w:szCs w:val="22"/>
        </w:rPr>
        <w:t xml:space="preserve">Use an independent broker (free to you, carriers pay them). The expensive mistakes: relying on personal auto/homeowners for business use (explicitly excluded), skipping cyber because you think GL covers it (it doesn't), and not carrying tail coverage when switching E&amp;O carriers.</w:t>
      </w:r>
    </w:p>
    <w:p>
      <w:r>
        <w:br w:type="page"/>
      </w:r>
    </w:p>
    <w:p>
      <w:pPr>
        <w:pStyle w:val="Heading1"/>
      </w:pPr>
      <w:r>
        <w:rPr>
          <w:rFonts w:ascii="Arial" w:cs="Arial" w:eastAsia="Arial" w:hAnsi="Arial"/>
          <w:b/>
          <w:bCs/>
        </w:rPr>
        <w:t xml:space="preserve">2. Financial Operations</w:t>
      </w:r>
    </w:p>
    <w:p>
      <w:pPr>
        <w:pStyle w:val="Heading2"/>
      </w:pPr>
      <w:r>
        <w:rPr>
          <w:rFonts w:ascii="Arial" w:cs="Arial" w:eastAsia="Arial" w:hAnsi="Arial"/>
          <w:b/>
          <w:bCs/>
        </w:rPr>
        <w:t xml:space="preserve">2.1 The Financial Stack</w:t>
      </w:r>
    </w:p>
    <w:p>
      <w:pPr>
        <w:spacing w:after="160"/>
      </w:pPr>
      <w:r>
        <w:rPr>
          <w:rFonts w:ascii="Arial" w:cs="Arial" w:eastAsia="Arial" w:hAnsi="Arial"/>
          <w:b w:val="false"/>
          <w:bCs w:val="false"/>
          <w:i w:val="false"/>
          <w:iCs w:val="false"/>
          <w:color w:val="1A1A2E"/>
          <w:sz w:val="22"/>
          <w:szCs w:val="22"/>
        </w:rPr>
        <w:t xml:space="preserve">The minimum: separate business bank accounts day one, monthly books closed by day 15, quarterly estimated taxes, and dual approvals on wires over $5K. Everything else is automation on top of these primitives.</w:t>
      </w:r>
    </w:p>
    <w:p>
      <w:pPr>
        <w:pStyle w:val="ListParagraph"/>
        <w:numPr>
          <w:ilvl w:val="0"/>
          <w:numId w:val="3"/>
        </w:numPr>
        <w:spacing w:after="100"/>
      </w:pPr>
      <w:r>
        <w:rPr>
          <w:rFonts w:ascii="Arial" w:cs="Arial" w:eastAsia="Arial" w:hAnsi="Arial"/>
          <w:b/>
          <w:bCs/>
          <w:color w:val="1A1A2E"/>
          <w:sz w:val="22"/>
          <w:szCs w:val="22"/>
        </w:rPr>
        <w:t xml:space="preserve">Cash-basis accounting </w:t>
      </w:r>
      <w:r>
        <w:rPr>
          <w:rFonts w:ascii="Arial" w:cs="Arial" w:eastAsia="Arial" w:hAnsi="Arial"/>
          <w:color w:val="1A1A2E"/>
          <w:sz w:val="22"/>
          <w:szCs w:val="22"/>
        </w:rPr>
        <w:t xml:space="preserve">is permitted until average annual gross receipts cross $31M. Stay on cash for tax filing, run accrual-style management reporting once above ~$500K revenue.</w:t>
      </w:r>
    </w:p>
    <w:p>
      <w:pPr>
        <w:pStyle w:val="ListParagraph"/>
        <w:numPr>
          <w:ilvl w:val="0"/>
          <w:numId w:val="3"/>
        </w:numPr>
        <w:spacing w:after="100"/>
      </w:pPr>
      <w:r>
        <w:rPr>
          <w:rFonts w:ascii="Arial" w:cs="Arial" w:eastAsia="Arial" w:hAnsi="Arial"/>
          <w:b/>
          <w:bCs/>
          <w:color w:val="1A1A2E"/>
          <w:sz w:val="22"/>
          <w:szCs w:val="22"/>
        </w:rPr>
        <w:t xml:space="preserve">Chart of accounts: </w:t>
      </w:r>
      <w:r>
        <w:rPr>
          <w:rFonts w:ascii="Arial" w:cs="Arial" w:eastAsia="Arial" w:hAnsi="Arial"/>
          <w:color w:val="1A1A2E"/>
          <w:sz w:val="22"/>
          <w:szCs w:val="22"/>
        </w:rPr>
        <w:t xml:space="preserve">30 to 60 accounts, not 200. The 'one account per vendor' trap destroys gross-margin visibility because COGS gets mixed into operating expenses.</w:t>
      </w:r>
    </w:p>
    <w:p>
      <w:pPr>
        <w:pStyle w:val="ListParagraph"/>
        <w:numPr>
          <w:ilvl w:val="0"/>
          <w:numId w:val="3"/>
        </w:numPr>
        <w:spacing w:after="100"/>
      </w:pPr>
      <w:r>
        <w:rPr>
          <w:rFonts w:ascii="Arial" w:cs="Arial" w:eastAsia="Arial" w:hAnsi="Arial"/>
          <w:b/>
          <w:bCs/>
          <w:color w:val="1A1A2E"/>
          <w:sz w:val="22"/>
          <w:szCs w:val="22"/>
        </w:rPr>
        <w:t xml:space="preserve">QuickBooks Online </w:t>
      </w:r>
      <w:r>
        <w:rPr>
          <w:rFonts w:ascii="Arial" w:cs="Arial" w:eastAsia="Arial" w:hAnsi="Arial"/>
          <w:color w:val="1A1A2E"/>
          <w:sz w:val="22"/>
          <w:szCs w:val="22"/>
        </w:rPr>
        <w:t xml:space="preserve">is the US SMB standard ($35 to $235/month) with the deepest CPA and integration support. Xero wins on unlimited users and multi-currency. Wave is free for sub-$100K businesses. DIY bookkeeping is defensible under $250K revenue.</w:t>
      </w:r>
    </w:p>
    <w:p>
      <w:pPr>
        <w:pStyle w:val="Heading2"/>
      </w:pPr>
      <w:r>
        <w:rPr>
          <w:rFonts w:ascii="Arial" w:cs="Arial" w:eastAsia="Arial" w:hAnsi="Arial"/>
          <w:b/>
          <w:bCs/>
        </w:rPr>
        <w:t xml:space="preserve">2.2 Review Cadence</w:t>
      </w:r>
    </w:p>
    <w:p>
      <w:pPr>
        <w:pStyle w:val="ListParagraph"/>
        <w:numPr>
          <w:ilvl w:val="0"/>
          <w:numId w:val="3"/>
        </w:numPr>
        <w:spacing w:after="100"/>
      </w:pPr>
      <w:r>
        <w:rPr>
          <w:rFonts w:ascii="Arial" w:cs="Arial" w:eastAsia="Arial" w:hAnsi="Arial"/>
          <w:b/>
          <w:bCs/>
          <w:color w:val="1A1A2E"/>
          <w:sz w:val="22"/>
          <w:szCs w:val="22"/>
        </w:rPr>
        <w:t xml:space="preserve">Weekly: </w:t>
      </w:r>
      <w:r>
        <w:rPr>
          <w:rFonts w:ascii="Arial" w:cs="Arial" w:eastAsia="Arial" w:hAnsi="Arial"/>
          <w:color w:val="1A1A2E"/>
          <w:sz w:val="22"/>
          <w:szCs w:val="22"/>
        </w:rPr>
        <w:t xml:space="preserve">Bank balance, AR aging, AP due, cash runway.</w:t>
      </w:r>
    </w:p>
    <w:p>
      <w:pPr>
        <w:pStyle w:val="ListParagraph"/>
        <w:numPr>
          <w:ilvl w:val="0"/>
          <w:numId w:val="3"/>
        </w:numPr>
        <w:spacing w:after="100"/>
      </w:pPr>
      <w:r>
        <w:rPr>
          <w:rFonts w:ascii="Arial" w:cs="Arial" w:eastAsia="Arial" w:hAnsi="Arial"/>
          <w:b/>
          <w:bCs/>
          <w:color w:val="1A1A2E"/>
          <w:sz w:val="22"/>
          <w:szCs w:val="22"/>
        </w:rPr>
        <w:t xml:space="preserve">Monthly: </w:t>
      </w:r>
      <w:r>
        <w:rPr>
          <w:rFonts w:ascii="Arial" w:cs="Arial" w:eastAsia="Arial" w:hAnsi="Arial"/>
          <w:color w:val="1A1A2E"/>
          <w:sz w:val="22"/>
          <w:szCs w:val="22"/>
        </w:rPr>
        <w:t xml:space="preserve">Full P&amp;L, balance sheet, budget-vs-actual commentary. Books closed by day 15.</w:t>
      </w:r>
    </w:p>
    <w:p>
      <w:pPr>
        <w:pStyle w:val="ListParagraph"/>
        <w:numPr>
          <w:ilvl w:val="0"/>
          <w:numId w:val="3"/>
        </w:numPr>
        <w:spacing w:after="100"/>
      </w:pPr>
      <w:r>
        <w:rPr>
          <w:rFonts w:ascii="Arial" w:cs="Arial" w:eastAsia="Arial" w:hAnsi="Arial"/>
          <w:b/>
          <w:bCs/>
          <w:color w:val="1A1A2E"/>
          <w:sz w:val="22"/>
          <w:szCs w:val="22"/>
        </w:rPr>
        <w:t xml:space="preserve">Quarterly: </w:t>
      </w:r>
      <w:r>
        <w:rPr>
          <w:rFonts w:ascii="Arial" w:cs="Arial" w:eastAsia="Arial" w:hAnsi="Arial"/>
          <w:color w:val="1A1A2E"/>
          <w:sz w:val="22"/>
          <w:szCs w:val="22"/>
        </w:rPr>
        <w:t xml:space="preserve">Cash flow statement, KPI dashboard, estimated tax check-in. Safe harbor: smaller of 90% current-year tax or 100% prior-year (110% if AGI exceeded $150K).</w:t>
      </w:r>
    </w:p>
    <w:p>
      <w:pPr>
        <w:pStyle w:val="ListParagraph"/>
        <w:numPr>
          <w:ilvl w:val="0"/>
          <w:numId w:val="3"/>
        </w:numPr>
        <w:spacing w:after="100"/>
      </w:pPr>
      <w:r>
        <w:rPr>
          <w:rFonts w:ascii="Arial" w:cs="Arial" w:eastAsia="Arial" w:hAnsi="Arial"/>
          <w:b/>
          <w:bCs/>
          <w:color w:val="1A1A2E"/>
          <w:sz w:val="22"/>
          <w:szCs w:val="22"/>
        </w:rPr>
        <w:t xml:space="preserve">Annually: </w:t>
      </w:r>
      <w:r>
        <w:rPr>
          <w:rFonts w:ascii="Arial" w:cs="Arial" w:eastAsia="Arial" w:hAnsi="Arial"/>
          <w:color w:val="1A1A2E"/>
          <w:sz w:val="22"/>
          <w:szCs w:val="22"/>
        </w:rPr>
        <w:t xml:space="preserve">Tax return and next year's budget.</w:t>
      </w:r>
    </w:p>
    <w:p>
      <w:pPr>
        <w:pStyle w:val="Heading2"/>
      </w:pPr>
      <w:r>
        <w:rPr>
          <w:rFonts w:ascii="Arial" w:cs="Arial" w:eastAsia="Arial" w:hAnsi="Arial"/>
          <w:b/>
          <w:bCs/>
        </w:rPr>
        <w:t xml:space="preserve">2.3 Key Metrics</w:t>
      </w:r>
    </w:p>
    <w:p>
      <w:pPr>
        <w:pStyle w:val="ListParagraph"/>
        <w:numPr>
          <w:ilvl w:val="0"/>
          <w:numId w:val="3"/>
        </w:numPr>
        <w:spacing w:after="100"/>
      </w:pPr>
      <w:r>
        <w:rPr>
          <w:rFonts w:ascii="Arial" w:cs="Arial" w:eastAsia="Arial" w:hAnsi="Arial"/>
          <w:sz w:val="22"/>
          <w:szCs w:val="22"/>
        </w:rPr>
        <w:t xml:space="preserve">Gross margin: services 50-70%, SaaS 70-85%, products 30-50%</w:t>
      </w:r>
    </w:p>
    <w:p>
      <w:pPr>
        <w:pStyle w:val="ListParagraph"/>
        <w:numPr>
          <w:ilvl w:val="0"/>
          <w:numId w:val="3"/>
        </w:numPr>
        <w:spacing w:after="100"/>
      </w:pPr>
      <w:r>
        <w:rPr>
          <w:rFonts w:ascii="Arial" w:cs="Arial" w:eastAsia="Arial" w:hAnsi="Arial"/>
          <w:sz w:val="22"/>
          <w:szCs w:val="22"/>
        </w:rPr>
        <w:t xml:space="preserve">Cash runway: maintain 3-6 months minimum, 6-12 preferred</w:t>
      </w:r>
    </w:p>
    <w:p>
      <w:pPr>
        <w:pStyle w:val="ListParagraph"/>
        <w:numPr>
          <w:ilvl w:val="0"/>
          <w:numId w:val="3"/>
        </w:numPr>
        <w:spacing w:after="100"/>
      </w:pPr>
      <w:r>
        <w:rPr>
          <w:rFonts w:ascii="Arial" w:cs="Arial" w:eastAsia="Arial" w:hAnsi="Arial"/>
          <w:sz w:val="22"/>
          <w:szCs w:val="22"/>
        </w:rPr>
        <w:t xml:space="preserve">DSO (days sales outstanding): under 30 is excellent, 45+ is a red flag, B2B median is 56 days</w:t>
      </w:r>
    </w:p>
    <w:p>
      <w:pPr>
        <w:pStyle w:val="ListParagraph"/>
        <w:numPr>
          <w:ilvl w:val="0"/>
          <w:numId w:val="3"/>
        </w:numPr>
        <w:spacing w:after="100"/>
      </w:pPr>
      <w:r>
        <w:rPr>
          <w:rFonts w:ascii="Arial" w:cs="Arial" w:eastAsia="Arial" w:hAnsi="Arial"/>
          <w:sz w:val="22"/>
          <w:szCs w:val="22"/>
        </w:rPr>
        <w:t xml:space="preserve">Current ratio: above 1.5</w:t>
      </w:r>
    </w:p>
    <w:p>
      <w:pPr>
        <w:spacing w:after="160"/>
      </w:pPr>
      <w:r>
        <w:rPr>
          <w:rFonts w:ascii="Arial" w:cs="Arial" w:eastAsia="Arial" w:hAnsi="Arial"/>
          <w:b w:val="false"/>
          <w:bCs w:val="false"/>
          <w:i w:val="false"/>
          <w:iCs w:val="false"/>
          <w:color w:val="1A1A2E"/>
          <w:sz w:val="22"/>
          <w:szCs w:val="22"/>
        </w:rPr>
        <w:t xml:space="preserve">The classic mistake: obsessing over the P&amp;L while ignoring the balance sheet, then being shocked when a profitable company runs out of cash because receivables ballooned.</w:t>
      </w:r>
    </w:p>
    <w:p>
      <w:pPr>
        <w:pStyle w:val="Heading2"/>
      </w:pPr>
      <w:r>
        <w:rPr>
          <w:rFonts w:ascii="Arial" w:cs="Arial" w:eastAsia="Arial" w:hAnsi="Arial"/>
          <w:b/>
          <w:bCs/>
        </w:rPr>
        <w:t xml:space="preserve">2.4 Invoicing Rules</w:t>
      </w:r>
    </w:p>
    <w:p>
      <w:pPr>
        <w:pStyle w:val="ListParagraph"/>
        <w:numPr>
          <w:ilvl w:val="0"/>
          <w:numId w:val="3"/>
        </w:numPr>
        <w:spacing w:after="100"/>
      </w:pPr>
      <w:r>
        <w:rPr>
          <w:rFonts w:ascii="Arial" w:cs="Arial" w:eastAsia="Arial" w:hAnsi="Arial"/>
          <w:sz w:val="22"/>
          <w:szCs w:val="22"/>
        </w:rPr>
        <w:t xml:space="preserve">Invoice within 24 hours of work completion. Cuts DSO by 5-8 days.</w:t>
      </w:r>
    </w:p>
    <w:p>
      <w:pPr>
        <w:pStyle w:val="ListParagraph"/>
        <w:numPr>
          <w:ilvl w:val="0"/>
          <w:numId w:val="3"/>
        </w:numPr>
        <w:spacing w:after="100"/>
      </w:pPr>
      <w:r>
        <w:rPr>
          <w:rFonts w:ascii="Arial" w:cs="Arial" w:eastAsia="Arial" w:hAnsi="Arial"/>
          <w:sz w:val="22"/>
          <w:szCs w:val="22"/>
        </w:rPr>
        <w:t xml:space="preserve">Require deposits of 25-50% for project work</w:t>
      </w:r>
    </w:p>
    <w:p>
      <w:pPr>
        <w:pStyle w:val="ListParagraph"/>
        <w:numPr>
          <w:ilvl w:val="0"/>
          <w:numId w:val="3"/>
        </w:numPr>
        <w:spacing w:after="100"/>
      </w:pPr>
      <w:r>
        <w:rPr>
          <w:rFonts w:ascii="Arial" w:cs="Arial" w:eastAsia="Arial" w:hAnsi="Arial"/>
          <w:sz w:val="22"/>
          <w:szCs w:val="22"/>
        </w:rPr>
        <w:t xml:space="preserve">Charge 1.5%/month late fees</w:t>
      </w:r>
    </w:p>
    <w:p>
      <w:pPr>
        <w:pStyle w:val="ListParagraph"/>
        <w:numPr>
          <w:ilvl w:val="0"/>
          <w:numId w:val="3"/>
        </w:numPr>
        <w:spacing w:after="100"/>
      </w:pPr>
      <w:r>
        <w:rPr>
          <w:rFonts w:ascii="Arial" w:cs="Arial" w:eastAsia="Arial" w:hAnsi="Arial"/>
          <w:sz w:val="22"/>
          <w:szCs w:val="22"/>
        </w:rPr>
        <w:t xml:space="preserve">Dunning cadence: friendly reminder 7 days before due, escalate to collections at 30 days. First contact within 48 hours of a missed payment produces a 65% collection rate.</w:t>
      </w:r>
    </w:p>
    <w:p>
      <w:pPr>
        <w:pStyle w:val="Heading2"/>
      </w:pPr>
      <w:r>
        <w:rPr>
          <w:rFonts w:ascii="Arial" w:cs="Arial" w:eastAsia="Arial" w:hAnsi="Arial"/>
          <w:b/>
          <w:bCs/>
        </w:rPr>
        <w:t xml:space="preserve">2.5 S-Corp Election</w:t>
      </w:r>
    </w:p>
    <w:p>
      <w:pPr>
        <w:spacing w:after="160"/>
      </w:pPr>
      <w:r>
        <w:rPr>
          <w:rFonts w:ascii="Arial" w:cs="Arial" w:eastAsia="Arial" w:hAnsi="Arial"/>
          <w:b w:val="false"/>
          <w:bCs w:val="false"/>
          <w:i w:val="false"/>
          <w:iCs w:val="false"/>
          <w:color w:val="1A1A2E"/>
          <w:sz w:val="22"/>
          <w:szCs w:val="22"/>
        </w:rPr>
        <w:t xml:space="preserve">S-corp election (Form 2553) breaks even at roughly $60K to $80K of net profit. Below that, extra compliance costs ($3,500 to $5,000/year for payroll and Form 1120-S prep) wipe out savings. Self-employment tax is 15.3% (12.4% Social Security up to $176,100 in 2025, plus 2.9% Medicare uncapped, plus 0.9% additional Medicare over $200K). The IRS requires 'reasonable' W-2 salary for S-corp owners. Document the market rate.</w:t>
      </w:r>
    </w:p>
    <w:p>
      <w:pPr>
        <w:pStyle w:val="Heading2"/>
      </w:pPr>
      <w:r>
        <w:rPr>
          <w:rFonts w:ascii="Arial" w:cs="Arial" w:eastAsia="Arial" w:hAnsi="Arial"/>
          <w:b/>
          <w:bCs/>
        </w:rPr>
        <w:t xml:space="preserve">2.6 The 13-Week Cash Forecast</w:t>
      </w:r>
    </w:p>
    <w:p>
      <w:pPr>
        <w:spacing w:after="160"/>
      </w:pPr>
      <w:r>
        <w:rPr>
          <w:rFonts w:ascii="Arial" w:cs="Arial" w:eastAsia="Arial" w:hAnsi="Arial"/>
          <w:b w:val="false"/>
          <w:bCs w:val="false"/>
          <w:i w:val="false"/>
          <w:iCs w:val="false"/>
          <w:color w:val="1A1A2E"/>
          <w:sz w:val="22"/>
          <w:szCs w:val="22"/>
        </w:rPr>
        <w:t xml:space="preserve">The single most underused financial document in SMBs. Rolling 13 weeks of inflows (AR collections by expected date, new sales, loan draws) and outflows (payroll on exact dates, AP by due date, debt service, taxes). Updated every Monday. Identifies shortfalls 8+ weeks out, when you can still react strategically rather than panic. Valuable any time cash feels tight or you cross $1M revenue.</w:t>
      </w:r>
    </w:p>
    <w:p>
      <w:pPr>
        <w:pStyle w:val="Heading2"/>
      </w:pPr>
      <w:r>
        <w:rPr>
          <w:rFonts w:ascii="Arial" w:cs="Arial" w:eastAsia="Arial" w:hAnsi="Arial"/>
          <w:b/>
          <w:bCs/>
        </w:rPr>
        <w:t xml:space="preserve">2.7 Banking and Fraud Controls</w:t>
      </w:r>
    </w:p>
    <w:p>
      <w:pPr>
        <w:spacing w:after="160"/>
      </w:pPr>
      <w:r>
        <w:rPr>
          <w:rFonts w:ascii="Arial" w:cs="Arial" w:eastAsia="Arial" w:hAnsi="Arial"/>
          <w:b w:val="false"/>
          <w:bCs w:val="false"/>
          <w:i w:val="false"/>
          <w:iCs w:val="false"/>
          <w:color w:val="1A1A2E"/>
          <w:sz w:val="22"/>
          <w:szCs w:val="22"/>
        </w:rPr>
        <w:t xml:space="preserve">Minimum stack: business checking, business savings holding 25-30% of net profit as a tax reserve plus 3-6 months operating expenses, and a business credit card. Get a free D-U-N-S number from Dun &amp; Bradstreet, establish net-30 tradelines with Uline or Quill.</w:t>
      </w:r>
    </w:p>
    <w:p>
      <w:pPr>
        <w:spacing w:after="160"/>
      </w:pPr>
      <w:r>
        <w:rPr>
          <w:rFonts w:ascii="Arial" w:cs="Arial" w:eastAsia="Arial" w:hAnsi="Arial"/>
          <w:b w:val="false"/>
          <w:bCs w:val="false"/>
          <w:i w:val="false"/>
          <w:iCs w:val="false"/>
          <w:color w:val="1A1A2E"/>
          <w:sz w:val="22"/>
          <w:szCs w:val="22"/>
        </w:rPr>
        <w:t xml:space="preserve">Organizations lose roughly 5% of revenue annually to fraud. Median case loss: $145,000. Over half of cases involve absent or overridden controls. Compensating controls for a small team: dual approvals on wires and payments over $5K, monthly bank reconciliation with the owner reviewing the statement before the bookkeeper reconciles, and verification by phone (not email) of any vendor bank-change request. 'I trust my bookkeeper' is the most expensive sentence in small business.</w:t>
      </w:r>
    </w:p>
    <w:p>
      <w:r>
        <w:br w:type="page"/>
      </w:r>
    </w:p>
    <w:p>
      <w:pPr>
        <w:pStyle w:val="Heading1"/>
      </w:pPr>
      <w:r>
        <w:rPr>
          <w:rFonts w:ascii="Arial" w:cs="Arial" w:eastAsia="Arial" w:hAnsi="Arial"/>
          <w:b/>
          <w:bCs/>
        </w:rPr>
        <w:t xml:space="preserve">3. Client Operations</w:t>
      </w:r>
    </w:p>
    <w:p>
      <w:pPr>
        <w:pStyle w:val="Heading2"/>
      </w:pPr>
      <w:r>
        <w:rPr>
          <w:rFonts w:ascii="Arial" w:cs="Arial" w:eastAsia="Arial" w:hAnsi="Arial"/>
          <w:b/>
          <w:bCs/>
        </w:rPr>
        <w:t xml:space="preserve">3.1 Onboarding</w:t>
      </w:r>
    </w:p>
    <w:p>
      <w:pPr>
        <w:spacing w:after="160"/>
      </w:pPr>
      <w:r>
        <w:rPr>
          <w:rFonts w:ascii="Arial" w:cs="Arial" w:eastAsia="Arial" w:hAnsi="Arial"/>
          <w:b w:val="false"/>
          <w:bCs w:val="false"/>
          <w:i w:val="false"/>
          <w:iCs w:val="false"/>
          <w:color w:val="1A1A2E"/>
          <w:sz w:val="22"/>
          <w:szCs w:val="22"/>
        </w:rPr>
        <w:t xml:space="preserve">Agencies that onboard in 48 hours retain measurably better than the industry-typical three weeks. A welcome pack is not a document dump: primary contacts, first-week timeline, communication norms, file-sharing method, and next steps. Keep it short and warm.</w:t>
      </w:r>
    </w:p>
    <w:p>
      <w:pPr>
        <w:pStyle w:val="ListParagraph"/>
        <w:numPr>
          <w:ilvl w:val="0"/>
          <w:numId w:val="3"/>
        </w:numPr>
        <w:spacing w:after="100"/>
      </w:pPr>
      <w:r>
        <w:rPr>
          <w:rFonts w:ascii="Arial" w:cs="Arial" w:eastAsia="Arial" w:hAnsi="Arial"/>
          <w:b/>
          <w:bCs/>
          <w:color w:val="1A1A2E"/>
          <w:sz w:val="22"/>
          <w:szCs w:val="22"/>
        </w:rPr>
        <w:t xml:space="preserve">Intake questionnaires: </w:t>
      </w:r>
      <w:r>
        <w:rPr>
          <w:rFonts w:ascii="Arial" w:cs="Arial" w:eastAsia="Arial" w:hAnsi="Arial"/>
          <w:color w:val="1A1A2E"/>
          <w:sz w:val="22"/>
          <w:szCs w:val="22"/>
        </w:rPr>
        <w:t xml:space="preserve">Sequence them (don't ask for everything at once). Use specific requests ('Upload 2025 Form 1040') rather than vague ones ('send tax docs'). Multi-step forms with progress indicators see 52.9% higher completion rates.</w:t>
      </w:r>
    </w:p>
    <w:p>
      <w:pPr>
        <w:pStyle w:val="ListParagraph"/>
        <w:numPr>
          <w:ilvl w:val="0"/>
          <w:numId w:val="3"/>
        </w:numPr>
        <w:spacing w:after="100"/>
      </w:pPr>
      <w:r>
        <w:rPr>
          <w:rFonts w:ascii="Arial" w:cs="Arial" w:eastAsia="Arial" w:hAnsi="Arial"/>
          <w:b/>
          <w:bCs/>
          <w:color w:val="1A1A2E"/>
          <w:sz w:val="22"/>
          <w:szCs w:val="22"/>
        </w:rPr>
        <w:t xml:space="preserve">Internal kickoff happens before client kickoff. </w:t>
      </w:r>
      <w:r>
        <w:rPr>
          <w:rFonts w:ascii="Arial" w:cs="Arial" w:eastAsia="Arial" w:hAnsi="Arial"/>
          <w:color w:val="1A1A2E"/>
          <w:sz w:val="22"/>
          <w:szCs w:val="22"/>
        </w:rPr>
        <w:t xml:space="preserve">The client kickoff agenda runs ~90 minutes: intros, project background, briefing led by the client (they do the talking), success definition, timeline and change-management review.</w:t>
      </w:r>
    </w:p>
    <w:p>
      <w:pPr>
        <w:pStyle w:val="Heading2"/>
      </w:pPr>
      <w:r>
        <w:rPr>
          <w:rFonts w:ascii="Arial" w:cs="Arial" w:eastAsia="Arial" w:hAnsi="Arial"/>
          <w:b/>
          <w:bCs/>
        </w:rPr>
        <w:t xml:space="preserve">3.2 Proposals and SOWs</w:t>
      </w:r>
    </w:p>
    <w:p>
      <w:pPr>
        <w:spacing w:after="160"/>
      </w:pPr>
      <w:r>
        <w:rPr>
          <w:rFonts w:ascii="Arial" w:cs="Arial" w:eastAsia="Arial" w:hAnsi="Arial"/>
          <w:b w:val="false"/>
          <w:bCs w:val="false"/>
          <w:i w:val="false"/>
          <w:iCs w:val="false"/>
          <w:color w:val="1A1A2E"/>
          <w:sz w:val="22"/>
          <w:szCs w:val="22"/>
        </w:rPr>
        <w:t xml:space="preserve">A proposal is persuasive (pre-sale); an SOW is contractual (post-sale). B2B services proposals should be 5-15 pages, not forty. Every SOW needs:</w:t>
      </w:r>
    </w:p>
    <w:p>
      <w:pPr>
        <w:pStyle w:val="ListParagraph"/>
        <w:numPr>
          <w:ilvl w:val="0"/>
          <w:numId w:val="3"/>
        </w:numPr>
        <w:spacing w:after="100"/>
      </w:pPr>
      <w:r>
        <w:rPr>
          <w:rFonts w:ascii="Arial" w:cs="Arial" w:eastAsia="Arial" w:hAnsi="Arial"/>
          <w:sz w:val="22"/>
          <w:szCs w:val="22"/>
        </w:rPr>
        <w:t xml:space="preserve">Detailed scope with explicit out-of-scope list</w:t>
      </w:r>
    </w:p>
    <w:p>
      <w:pPr>
        <w:pStyle w:val="ListParagraph"/>
        <w:numPr>
          <w:ilvl w:val="0"/>
          <w:numId w:val="3"/>
        </w:numPr>
        <w:spacing w:after="100"/>
      </w:pPr>
      <w:r>
        <w:rPr>
          <w:rFonts w:ascii="Arial" w:cs="Arial" w:eastAsia="Arial" w:hAnsi="Arial"/>
          <w:sz w:val="22"/>
          <w:szCs w:val="22"/>
        </w:rPr>
        <w:t xml:space="preserve">Deliverables with objective acceptance criteria ('passes UAT,' '95% uptime SLA')</w:t>
      </w:r>
    </w:p>
    <w:p>
      <w:pPr>
        <w:pStyle w:val="ListParagraph"/>
        <w:numPr>
          <w:ilvl w:val="0"/>
          <w:numId w:val="3"/>
        </w:numPr>
        <w:spacing w:after="100"/>
      </w:pPr>
      <w:r>
        <w:rPr>
          <w:rFonts w:ascii="Arial" w:cs="Arial" w:eastAsia="Arial" w:hAnsi="Arial"/>
          <w:sz w:val="22"/>
          <w:szCs w:val="22"/>
        </w:rPr>
        <w:t xml:space="preserve">Milestone-linked timeline</w:t>
      </w:r>
    </w:p>
    <w:p>
      <w:pPr>
        <w:pStyle w:val="ListParagraph"/>
        <w:numPr>
          <w:ilvl w:val="0"/>
          <w:numId w:val="3"/>
        </w:numPr>
        <w:spacing w:after="100"/>
      </w:pPr>
      <w:r>
        <w:rPr>
          <w:rFonts w:ascii="Arial" w:cs="Arial" w:eastAsia="Arial" w:hAnsi="Arial"/>
          <w:sz w:val="22"/>
          <w:szCs w:val="22"/>
        </w:rPr>
        <w:t xml:space="preserve">Roles and responsibilities</w:t>
      </w:r>
    </w:p>
    <w:p>
      <w:pPr>
        <w:pStyle w:val="ListParagraph"/>
        <w:numPr>
          <w:ilvl w:val="0"/>
          <w:numId w:val="3"/>
        </w:numPr>
        <w:spacing w:after="100"/>
      </w:pPr>
      <w:r>
        <w:rPr>
          <w:rFonts w:ascii="Arial" w:cs="Arial" w:eastAsia="Arial" w:hAnsi="Arial"/>
          <w:sz w:val="22"/>
          <w:szCs w:val="22"/>
        </w:rPr>
        <w:t xml:space="preserve">Payment schedule tied to milestones (commonly 25/25/25/25 or 50/50)</w:t>
      </w:r>
    </w:p>
    <w:p>
      <w:pPr>
        <w:pStyle w:val="ListParagraph"/>
        <w:numPr>
          <w:ilvl w:val="0"/>
          <w:numId w:val="3"/>
        </w:numPr>
        <w:spacing w:after="100"/>
      </w:pPr>
      <w:r>
        <w:rPr>
          <w:rFonts w:ascii="Arial" w:cs="Arial" w:eastAsia="Arial" w:hAnsi="Arial"/>
          <w:sz w:val="22"/>
          <w:szCs w:val="22"/>
        </w:rPr>
        <w:t xml:space="preserve">Written change-order process</w:t>
      </w:r>
    </w:p>
    <w:p>
      <w:pPr>
        <w:pStyle w:val="ListParagraph"/>
        <w:numPr>
          <w:ilvl w:val="0"/>
          <w:numId w:val="3"/>
        </w:numPr>
        <w:spacing w:after="100"/>
      </w:pPr>
      <w:r>
        <w:rPr>
          <w:rFonts w:ascii="Arial" w:cs="Arial" w:eastAsia="Arial" w:hAnsi="Arial"/>
          <w:sz w:val="22"/>
          <w:szCs w:val="22"/>
        </w:rPr>
        <w:t xml:space="preserve">Assumptions and signatures</w:t>
      </w:r>
    </w:p>
    <w:p>
      <w:pPr>
        <w:spacing w:after="160"/>
      </w:pPr>
      <w:r>
        <w:rPr>
          <w:rFonts w:ascii="Arial" w:cs="Arial" w:eastAsia="Arial" w:hAnsi="Arial"/>
          <w:b w:val="false"/>
          <w:bCs w:val="false"/>
          <w:i w:val="false"/>
          <w:iCs w:val="false"/>
          <w:color w:val="1A1A2E"/>
          <w:sz w:val="22"/>
          <w:szCs w:val="22"/>
        </w:rPr>
        <w:t xml:space="preserve">Average proposal-stage win rate: 47%. Elite sellers hit 75%. Agency close rates above 70% typically signal underpricing. Deals that close in under 50 days win 47% of the time; over 50 days drops to 20%.</w:t>
      </w:r>
    </w:p>
    <w:p>
      <w:pPr>
        <w:pStyle w:val="Heading2"/>
      </w:pPr>
      <w:r>
        <w:rPr>
          <w:rFonts w:ascii="Arial" w:cs="Arial" w:eastAsia="Arial" w:hAnsi="Arial"/>
          <w:b/>
          <w:bCs/>
        </w:rPr>
        <w:t xml:space="preserve">3.3 Delivery and Offboarding</w:t>
      </w:r>
    </w:p>
    <w:p>
      <w:pPr>
        <w:spacing w:after="160"/>
      </w:pPr>
      <w:r>
        <w:rPr>
          <w:rFonts w:ascii="Arial" w:cs="Arial" w:eastAsia="Arial" w:hAnsi="Arial"/>
          <w:b/>
          <w:bCs/>
          <w:color w:val="1A1A2E"/>
          <w:sz w:val="22"/>
          <w:szCs w:val="22"/>
        </w:rPr>
        <w:t xml:space="preserve">File naming: </w:t>
      </w:r>
      <w:r>
        <w:rPr>
          <w:rFonts w:ascii="Arial" w:cs="Arial" w:eastAsia="Arial" w:hAnsi="Arial"/>
          <w:color w:val="1A1A2E"/>
          <w:sz w:val="22"/>
          <w:szCs w:val="22"/>
        </w:rPr>
        <w:t xml:space="preserve">Client_Project_Description_YYYYMMDD_v01.ext. ISO-8601 dates, no spaces, no special characters, versions as v01/v02 (not 'final_final_v2_USE_THIS').</w:t>
      </w:r>
    </w:p>
    <w:p>
      <w:pPr>
        <w:spacing w:after="160"/>
      </w:pPr>
      <w:r>
        <w:rPr>
          <w:rFonts w:ascii="Arial" w:cs="Arial" w:eastAsia="Arial" w:hAnsi="Arial"/>
          <w:b/>
          <w:bCs/>
          <w:color w:val="1A1A2E"/>
          <w:sz w:val="22"/>
          <w:szCs w:val="22"/>
        </w:rPr>
        <w:t xml:space="preserve">The offboarding packet: </w:t>
      </w:r>
      <w:r>
        <w:rPr>
          <w:rFonts w:ascii="Arial" w:cs="Arial" w:eastAsia="Arial" w:hAnsi="Arial"/>
          <w:color w:val="1A1A2E"/>
          <w:sz w:val="22"/>
          <w:szCs w:val="22"/>
        </w:rPr>
        <w:t xml:space="preserve">Thank-you, deliverables summary, handover document with logins, feedback/testimonial request, referral invitation. Precedes a dedicated offboarding call. Testimonials come at peak satisfaction: promoters (NPS 9-10) get the testimonial and referral ask, detractors get a closing-the-loop call within 48 hours.</w:t>
      </w:r>
    </w:p>
    <w:p>
      <w:pPr>
        <w:spacing w:after="160"/>
      </w:pPr>
      <w:r>
        <w:rPr>
          <w:rFonts w:ascii="Arial" w:cs="Arial" w:eastAsia="Arial" w:hAnsi="Arial"/>
          <w:b w:val="false"/>
          <w:bCs w:val="false"/>
          <w:i w:val="false"/>
          <w:iCs w:val="false"/>
          <w:color w:val="1A1A2E"/>
          <w:sz w:val="22"/>
          <w:szCs w:val="22"/>
        </w:rPr>
        <w:t xml:space="preserve">84% of B2B buyers start with a referral. Your referral program needs a clear incentive, a tracking link, and CRM integration.</w:t>
      </w:r>
    </w:p>
    <w:p>
      <w:r>
        <w:br w:type="page"/>
      </w:r>
    </w:p>
    <w:p>
      <w:pPr>
        <w:pStyle w:val="Heading1"/>
      </w:pPr>
      <w:r>
        <w:rPr>
          <w:rFonts w:ascii="Arial" w:cs="Arial" w:eastAsia="Arial" w:hAnsi="Arial"/>
          <w:b/>
          <w:bCs/>
        </w:rPr>
        <w:t xml:space="preserve">4. HR and Team Operations</w:t>
      </w:r>
    </w:p>
    <w:p>
      <w:pPr>
        <w:pStyle w:val="Heading2"/>
      </w:pPr>
      <w:r>
        <w:rPr>
          <w:rFonts w:ascii="Arial" w:cs="Arial" w:eastAsia="Arial" w:hAnsi="Arial"/>
          <w:b/>
          <w:bCs/>
        </w:rPr>
        <w:t xml:space="preserve">4.1 Federal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6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Kicks In</w:t>
            </w:r>
          </w:p>
        </w:tc>
      </w:tr>
      <w:tr>
        <w:tc>
          <w:tcPr>
            <w:tcW w:type="dxa" w:w="4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1 employee</w:t>
            </w:r>
          </w:p>
        </w:tc>
        <w:tc>
          <w:tcPr>
            <w:tcW w:type="dxa" w:w="4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Workers' comp, unemployment insurance (most states)</w:t>
            </w:r>
          </w:p>
        </w:tc>
      </w:tr>
      <w:tr>
        <w:tc>
          <w:tcPr>
            <w:tcW w:type="dxa" w:w="4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15 employees</w:t>
            </w:r>
          </w:p>
        </w:tc>
        <w:tc>
          <w:tcPr>
            <w:tcW w:type="dxa" w:w="4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Title VII, ADA. Handbook effectively mandatory.</w:t>
            </w:r>
          </w:p>
        </w:tc>
      </w:tr>
      <w:tr>
        <w:tc>
          <w:tcPr>
            <w:tcW w:type="dxa" w:w="4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20 employees</w:t>
            </w:r>
          </w:p>
        </w:tc>
        <w:tc>
          <w:tcPr>
            <w:tcW w:type="dxa" w:w="4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ADEA, COBRA.</w:t>
            </w:r>
          </w:p>
        </w:tc>
      </w:tr>
      <w:tr>
        <w:tc>
          <w:tcPr>
            <w:tcW w:type="dxa" w:w="4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50 employees</w:t>
            </w:r>
          </w:p>
        </w:tc>
        <w:tc>
          <w:tcPr>
            <w:tcW w:type="dxa" w:w="4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FMLA, ACA employer mandate (~$2,970/FTE penalty for no offer).</w:t>
            </w:r>
          </w:p>
        </w:tc>
      </w:tr>
      <w:tr>
        <w:tc>
          <w:tcPr>
            <w:tcW w:type="dxa" w:w="4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100 employees</w:t>
            </w:r>
          </w:p>
        </w:tc>
        <w:tc>
          <w:tcPr>
            <w:tcW w:type="dxa" w:w="4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WARN Act.</w:t>
            </w:r>
          </w:p>
        </w:tc>
      </w:tr>
    </w:tbl>
    <w:p>
      <w:pPr>
        <w:spacing w:after="120"/>
      </w:pPr>
    </w:p>
    <w:p>
      <w:pPr>
        <w:spacing w:after="160"/>
      </w:pPr>
      <w:r>
        <w:rPr>
          <w:rFonts w:ascii="Arial" w:cs="Arial" w:eastAsia="Arial" w:hAnsi="Arial"/>
          <w:b w:val="false"/>
          <w:bCs w:val="false"/>
          <w:i w:val="false"/>
          <w:iCs w:val="false"/>
          <w:color w:val="1A1A2E"/>
          <w:sz w:val="22"/>
          <w:szCs w:val="22"/>
        </w:rPr>
        <w:t xml:space="preserve">Some states are stricter: California FEHA at 5, NYC at 4, Vermont at 1. CalSavers-style retirement mandates now apply at one employee in 16+ states.</w:t>
      </w:r>
    </w:p>
    <w:p>
      <w:pPr>
        <w:pStyle w:val="Heading2"/>
      </w:pPr>
      <w:r>
        <w:rPr>
          <w:rFonts w:ascii="Arial" w:cs="Arial" w:eastAsia="Arial" w:hAnsi="Arial"/>
          <w:b/>
          <w:bCs/>
        </w:rPr>
        <w:t xml:space="preserve">4.2 Performance and Meeting Cadence</w:t>
      </w:r>
    </w:p>
    <w:p>
      <w:pPr>
        <w:spacing w:after="160"/>
      </w:pPr>
      <w:r>
        <w:rPr>
          <w:rFonts w:ascii="Arial" w:cs="Arial" w:eastAsia="Arial" w:hAnsi="Arial"/>
          <w:b w:val="false"/>
          <w:bCs w:val="false"/>
          <w:i w:val="false"/>
          <w:iCs w:val="false"/>
          <w:color w:val="1A1A2E"/>
          <w:sz w:val="22"/>
          <w:szCs w:val="22"/>
        </w:rPr>
        <w:t xml:space="preserve">Managers account for 70% of variance in team engagement. Only 21-23% of global employees are engaged. The modern SMB cadence replaces the annual review with:</w:t>
      </w:r>
    </w:p>
    <w:p>
      <w:pPr>
        <w:pStyle w:val="ListParagraph"/>
        <w:numPr>
          <w:ilvl w:val="0"/>
          <w:numId w:val="3"/>
        </w:numPr>
        <w:spacing w:after="100"/>
      </w:pPr>
      <w:r>
        <w:rPr>
          <w:rFonts w:ascii="Arial" w:cs="Arial" w:eastAsia="Arial" w:hAnsi="Arial"/>
          <w:b/>
          <w:bCs/>
          <w:color w:val="1A1A2E"/>
          <w:sz w:val="22"/>
          <w:szCs w:val="22"/>
        </w:rPr>
        <w:t xml:space="preserve">Weekly 30-minute 1:1s: </w:t>
      </w:r>
      <w:r>
        <w:rPr>
          <w:rFonts w:ascii="Arial" w:cs="Arial" w:eastAsia="Arial" w:hAnsi="Arial"/>
          <w:color w:val="1A1A2E"/>
          <w:sz w:val="22"/>
          <w:szCs w:val="22"/>
        </w:rPr>
        <w:t xml:space="preserve">Employee-owned agenda. Manager listens 70% of the time. Never cancel, only reschedule.</w:t>
      </w:r>
    </w:p>
    <w:p>
      <w:pPr>
        <w:pStyle w:val="ListParagraph"/>
        <w:numPr>
          <w:ilvl w:val="0"/>
          <w:numId w:val="3"/>
        </w:numPr>
        <w:spacing w:after="100"/>
      </w:pPr>
      <w:r>
        <w:rPr>
          <w:rFonts w:ascii="Arial" w:cs="Arial" w:eastAsia="Arial" w:hAnsi="Arial"/>
          <w:b/>
          <w:bCs/>
          <w:color w:val="1A1A2E"/>
          <w:sz w:val="22"/>
          <w:szCs w:val="22"/>
        </w:rPr>
        <w:t xml:space="preserve">Quarterly: </w:t>
      </w:r>
      <w:r>
        <w:rPr>
          <w:rFonts w:ascii="Arial" w:cs="Arial" w:eastAsia="Arial" w:hAnsi="Arial"/>
          <w:color w:val="1A1A2E"/>
          <w:sz w:val="22"/>
          <w:szCs w:val="22"/>
        </w:rPr>
        <w:t xml:space="preserve">Forward-looking performance conversations. No surprises.</w:t>
      </w:r>
    </w:p>
    <w:p>
      <w:pPr>
        <w:pStyle w:val="ListParagraph"/>
        <w:numPr>
          <w:ilvl w:val="0"/>
          <w:numId w:val="3"/>
        </w:numPr>
        <w:spacing w:after="100"/>
      </w:pPr>
      <w:r>
        <w:rPr>
          <w:rFonts w:ascii="Arial" w:cs="Arial" w:eastAsia="Arial" w:hAnsi="Arial"/>
          <w:b/>
          <w:bCs/>
          <w:color w:val="1A1A2E"/>
          <w:sz w:val="22"/>
          <w:szCs w:val="22"/>
        </w:rPr>
        <w:t xml:space="preserve">Annual: </w:t>
      </w:r>
      <w:r>
        <w:rPr>
          <w:rFonts w:ascii="Arial" w:cs="Arial" w:eastAsia="Arial" w:hAnsi="Arial"/>
          <w:color w:val="1A1A2E"/>
          <w:sz w:val="22"/>
          <w:szCs w:val="22"/>
        </w:rPr>
        <w:t xml:space="preserve">Compensation and career discussion where no feedback is new.</w:t>
      </w:r>
    </w:p>
    <w:p>
      <w:pPr>
        <w:spacing w:after="160"/>
      </w:pPr>
      <w:r>
        <w:rPr>
          <w:rFonts w:ascii="Arial" w:cs="Arial" w:eastAsia="Arial" w:hAnsi="Arial"/>
          <w:b w:val="false"/>
          <w:bCs w:val="false"/>
          <w:i w:val="false"/>
          <w:iCs w:val="false"/>
          <w:color w:val="1A1A2E"/>
          <w:sz w:val="22"/>
          <w:szCs w:val="22"/>
        </w:rPr>
        <w:t xml:space="preserve">360 reviews below 25 headcount break anonymity. 9-box grids and forced curves below 50 people are pure theater.</w:t>
      </w:r>
    </w:p>
    <w:p>
      <w:pPr>
        <w:pStyle w:val="Heading2"/>
      </w:pPr>
      <w:r>
        <w:rPr>
          <w:rFonts w:ascii="Arial" w:cs="Arial" w:eastAsia="Arial" w:hAnsi="Arial"/>
          <w:b/>
          <w:bCs/>
        </w:rPr>
        <w:t xml:space="preserve">4.3 Meeting Frameworks</w:t>
      </w:r>
    </w:p>
    <w:p>
      <w:pPr>
        <w:pStyle w:val="ListParagraph"/>
        <w:numPr>
          <w:ilvl w:val="0"/>
          <w:numId w:val="3"/>
        </w:numPr>
        <w:spacing w:after="100"/>
      </w:pPr>
      <w:r>
        <w:rPr>
          <w:rFonts w:ascii="Arial" w:cs="Arial" w:eastAsia="Arial" w:hAnsi="Arial"/>
          <w:b/>
          <w:bCs/>
          <w:color w:val="1A1A2E"/>
          <w:sz w:val="22"/>
          <w:szCs w:val="22"/>
        </w:rPr>
        <w:t xml:space="preserve">EOS Level 10: </w:t>
      </w:r>
      <w:r>
        <w:rPr>
          <w:rFonts w:ascii="Arial" w:cs="Arial" w:eastAsia="Arial" w:hAnsi="Arial"/>
          <w:color w:val="1A1A2E"/>
          <w:sz w:val="22"/>
          <w:szCs w:val="22"/>
        </w:rPr>
        <w:t xml:space="preserve">90 minutes weekly, same time, 6-7 attendees, 60 of the 90 minutes spent in IDS (Identify, Discuss, Solve) on the Issues List.</w:t>
      </w:r>
    </w:p>
    <w:p>
      <w:pPr>
        <w:pStyle w:val="ListParagraph"/>
        <w:numPr>
          <w:ilvl w:val="0"/>
          <w:numId w:val="3"/>
        </w:numPr>
        <w:spacing w:after="100"/>
      </w:pPr>
      <w:r>
        <w:rPr>
          <w:rFonts w:ascii="Arial" w:cs="Arial" w:eastAsia="Arial" w:hAnsi="Arial"/>
          <w:b/>
          <w:bCs/>
          <w:color w:val="1A1A2E"/>
          <w:sz w:val="22"/>
          <w:szCs w:val="22"/>
        </w:rPr>
        <w:t xml:space="preserve">Scaling Up: </w:t>
      </w:r>
      <w:r>
        <w:rPr>
          <w:rFonts w:ascii="Arial" w:cs="Arial" w:eastAsia="Arial" w:hAnsi="Arial"/>
          <w:color w:val="1A1A2E"/>
          <w:sz w:val="22"/>
          <w:szCs w:val="22"/>
        </w:rPr>
        <w:t xml:space="preserve">Daily 5-15 minute standing huddle, weekly 60-90 minutes, monthly management half-day, quarterly planning offsite, annual strategy.</w:t>
      </w:r>
    </w:p>
    <w:p>
      <w:pPr>
        <w:pStyle w:val="ListParagraph"/>
        <w:numPr>
          <w:ilvl w:val="0"/>
          <w:numId w:val="3"/>
        </w:numPr>
        <w:spacing w:after="100"/>
      </w:pPr>
      <w:r>
        <w:rPr>
          <w:rFonts w:ascii="Arial" w:cs="Arial" w:eastAsia="Arial" w:hAnsi="Arial"/>
          <w:b/>
          <w:bCs/>
          <w:color w:val="1A1A2E"/>
          <w:sz w:val="22"/>
          <w:szCs w:val="22"/>
        </w:rPr>
        <w:t xml:space="preserve">4DX: </w:t>
      </w:r>
      <w:r>
        <w:rPr>
          <w:rFonts w:ascii="Arial" w:cs="Arial" w:eastAsia="Arial" w:hAnsi="Arial"/>
          <w:color w:val="1A1A2E"/>
          <w:sz w:val="22"/>
          <w:szCs w:val="22"/>
        </w:rPr>
        <w:t xml:space="preserve">One or two WIGs (wildly important goals), lead measures not lag, visible scoreboard, weekly cadence of accountability.</w:t>
      </w:r>
    </w:p>
    <w:p>
      <w:pPr>
        <w:spacing w:after="160"/>
      </w:pPr>
      <w:r>
        <w:rPr>
          <w:rFonts w:ascii="Arial" w:cs="Arial" w:eastAsia="Arial" w:hAnsi="Arial"/>
          <w:b w:val="false"/>
          <w:bCs w:val="false"/>
          <w:i w:val="false"/>
          <w:iCs w:val="false"/>
          <w:color w:val="1A1A2E"/>
          <w:sz w:val="22"/>
          <w:szCs w:val="22"/>
        </w:rPr>
        <w:t xml:space="preserve">Every recurring meeting needs a quarterly cancel-or-shrink review. Default to 25 or 50 minutes (not 30 or 60) to force recovery buffers. No agenda = no meeting.</w:t>
      </w:r>
    </w:p>
    <w:p>
      <w:r>
        <w:br w:type="page"/>
      </w:r>
    </w:p>
    <w:p>
      <w:pPr>
        <w:pStyle w:val="Heading1"/>
      </w:pPr>
      <w:r>
        <w:rPr>
          <w:rFonts w:ascii="Arial" w:cs="Arial" w:eastAsia="Arial" w:hAnsi="Arial"/>
          <w:b/>
          <w:bCs/>
        </w:rPr>
        <w:t xml:space="preserve">5. Sales and Marketing</w:t>
      </w:r>
    </w:p>
    <w:p>
      <w:pPr>
        <w:pStyle w:val="Heading2"/>
      </w:pPr>
      <w:r>
        <w:rPr>
          <w:rFonts w:ascii="Arial" w:cs="Arial" w:eastAsia="Arial" w:hAnsi="Arial"/>
          <w:b/>
          <w:bCs/>
        </w:rPr>
        <w:t xml:space="preserve">5.1 CRM Timing</w:t>
      </w:r>
    </w:p>
    <w:p>
      <w:pPr>
        <w:spacing w:after="160"/>
      </w:pPr>
      <w:r>
        <w:rPr>
          <w:rFonts w:ascii="Arial" w:cs="Arial" w:eastAsia="Arial" w:hAnsi="Arial"/>
          <w:b w:val="false"/>
          <w:bCs w:val="false"/>
          <w:i w:val="false"/>
          <w:iCs w:val="false"/>
          <w:color w:val="1A1A2E"/>
          <w:sz w:val="22"/>
          <w:szCs w:val="22"/>
        </w:rPr>
        <w:t xml:space="preserve">Graduate from a spreadsheet to a CRM when you cross two reps, 50 active deals, or lose a deal to missed follow-up. Before that, a Google Sheet plus calendar reminders beats HubSpot Pro. The biggest wasted spend in SMB sales is buying tooling ahead of process.</w:t>
      </w:r>
    </w:p>
    <w:p>
      <w:pPr>
        <w:pStyle w:val="Heading2"/>
      </w:pPr>
      <w:r>
        <w:rPr>
          <w:rFonts w:ascii="Arial" w:cs="Arial" w:eastAsia="Arial" w:hAnsi="Arial"/>
          <w:b/>
          <w:bCs/>
        </w:rPr>
        <w:t xml:space="preserve">5.2 Pipeline Benchmarks (B2B SaaS)</w:t>
      </w:r>
    </w:p>
    <w:p>
      <w:pPr>
        <w:pStyle w:val="ListParagraph"/>
        <w:numPr>
          <w:ilvl w:val="0"/>
          <w:numId w:val="3"/>
        </w:numPr>
        <w:spacing w:after="100"/>
      </w:pPr>
      <w:r>
        <w:rPr>
          <w:rFonts w:ascii="Arial" w:cs="Arial" w:eastAsia="Arial" w:hAnsi="Arial"/>
          <w:sz w:val="22"/>
          <w:szCs w:val="22"/>
        </w:rPr>
        <w:t xml:space="preserve">Visitor-to-lead: 0.8-2.5%</w:t>
      </w:r>
    </w:p>
    <w:p>
      <w:pPr>
        <w:pStyle w:val="ListParagraph"/>
        <w:numPr>
          <w:ilvl w:val="0"/>
          <w:numId w:val="3"/>
        </w:numPr>
        <w:spacing w:after="100"/>
      </w:pPr>
      <w:r>
        <w:rPr>
          <w:rFonts w:ascii="Arial" w:cs="Arial" w:eastAsia="Arial" w:hAnsi="Arial"/>
          <w:sz w:val="22"/>
          <w:szCs w:val="22"/>
        </w:rPr>
        <w:t xml:space="preserve">Lead-to-MQL: ~39%</w:t>
      </w:r>
    </w:p>
    <w:p>
      <w:pPr>
        <w:pStyle w:val="ListParagraph"/>
        <w:numPr>
          <w:ilvl w:val="0"/>
          <w:numId w:val="3"/>
        </w:numPr>
        <w:spacing w:after="100"/>
      </w:pPr>
      <w:r>
        <w:rPr>
          <w:rFonts w:ascii="Arial" w:cs="Arial" w:eastAsia="Arial" w:hAnsi="Arial"/>
          <w:sz w:val="22"/>
          <w:szCs w:val="22"/>
        </w:rPr>
        <w:t xml:space="preserve">MQL-to-SQL: 15-21% (the biggest bottleneck)</w:t>
      </w:r>
    </w:p>
    <w:p>
      <w:pPr>
        <w:pStyle w:val="ListParagraph"/>
        <w:numPr>
          <w:ilvl w:val="0"/>
          <w:numId w:val="3"/>
        </w:numPr>
        <w:spacing w:after="100"/>
      </w:pPr>
      <w:r>
        <w:rPr>
          <w:rFonts w:ascii="Arial" w:cs="Arial" w:eastAsia="Arial" w:hAnsi="Arial"/>
          <w:sz w:val="22"/>
          <w:szCs w:val="22"/>
        </w:rPr>
        <w:t xml:space="preserve">Opportunity-to-closed-won: 37-39% for SMB</w:t>
      </w:r>
    </w:p>
    <w:p>
      <w:pPr>
        <w:pStyle w:val="ListParagraph"/>
        <w:numPr>
          <w:ilvl w:val="0"/>
          <w:numId w:val="3"/>
        </w:numPr>
        <w:spacing w:after="100"/>
      </w:pPr>
      <w:r>
        <w:rPr>
          <w:rFonts w:ascii="Arial" w:cs="Arial" w:eastAsia="Arial" w:hAnsi="Arial"/>
          <w:sz w:val="22"/>
          <w:szCs w:val="22"/>
        </w:rPr>
        <w:t xml:space="preserve">End-to-end lead-to-customer: 2-5%</w:t>
      </w:r>
    </w:p>
    <w:p>
      <w:pPr>
        <w:pStyle w:val="ListParagraph"/>
        <w:numPr>
          <w:ilvl w:val="0"/>
          <w:numId w:val="3"/>
        </w:numPr>
        <w:spacing w:after="100"/>
      </w:pPr>
      <w:r>
        <w:rPr>
          <w:rFonts w:ascii="Arial" w:cs="Arial" w:eastAsia="Arial" w:hAnsi="Arial"/>
          <w:sz w:val="22"/>
          <w:szCs w:val="22"/>
        </w:rPr>
        <w:t xml:space="preserve">Healthy win rate: 20-30%</w:t>
      </w:r>
    </w:p>
    <w:p>
      <w:pPr>
        <w:pStyle w:val="ListParagraph"/>
        <w:numPr>
          <w:ilvl w:val="0"/>
          <w:numId w:val="3"/>
        </w:numPr>
        <w:spacing w:after="100"/>
      </w:pPr>
      <w:r>
        <w:rPr>
          <w:rFonts w:ascii="Arial" w:cs="Arial" w:eastAsia="Arial" w:hAnsi="Arial"/>
          <w:sz w:val="22"/>
          <w:szCs w:val="22"/>
        </w:rPr>
        <w:t xml:space="preserve">Pipeline coverage: 3-4x quota</w:t>
      </w:r>
    </w:p>
    <w:p>
      <w:pPr>
        <w:pStyle w:val="ListParagraph"/>
        <w:numPr>
          <w:ilvl w:val="0"/>
          <w:numId w:val="3"/>
        </w:numPr>
        <w:spacing w:after="100"/>
      </w:pPr>
      <w:r>
        <w:rPr>
          <w:rFonts w:ascii="Arial" w:cs="Arial" w:eastAsia="Arial" w:hAnsi="Arial"/>
          <w:sz w:val="22"/>
          <w:szCs w:val="22"/>
        </w:rPr>
        <w:t xml:space="preserve">SMB sales cycles: 30-90 days for sub-$5K deals</w:t>
      </w:r>
    </w:p>
    <w:p>
      <w:pPr>
        <w:spacing w:after="160"/>
      </w:pPr>
      <w:r>
        <w:rPr>
          <w:rFonts w:ascii="Arial" w:cs="Arial" w:eastAsia="Arial" w:hAnsi="Arial"/>
          <w:b w:val="false"/>
          <w:bCs w:val="false"/>
          <w:i w:val="false"/>
          <w:iCs w:val="false"/>
          <w:color w:val="1A1A2E"/>
          <w:sz w:val="22"/>
          <w:szCs w:val="22"/>
        </w:rPr>
        <w:t xml:space="preserve">Every pipeline stage needs exit criteria, not just labels.</w:t>
      </w:r>
    </w:p>
    <w:p>
      <w:pPr>
        <w:pStyle w:val="Heading2"/>
      </w:pPr>
      <w:r>
        <w:rPr>
          <w:rFonts w:ascii="Arial" w:cs="Arial" w:eastAsia="Arial" w:hAnsi="Arial"/>
          <w:b/>
          <w:bCs/>
        </w:rPr>
        <w:t xml:space="preserve">5.3 Pricing Strategy</w:t>
      </w:r>
    </w:p>
    <w:p>
      <w:pPr>
        <w:spacing w:after="160"/>
      </w:pPr>
      <w:r>
        <w:rPr>
          <w:rFonts w:ascii="Arial" w:cs="Arial" w:eastAsia="Arial" w:hAnsi="Arial"/>
          <w:b w:val="false"/>
          <w:bCs w:val="false"/>
          <w:i w:val="false"/>
          <w:iCs w:val="false"/>
          <w:color w:val="1A1A2E"/>
          <w:sz w:val="22"/>
          <w:szCs w:val="22"/>
        </w:rPr>
        <w:t xml:space="preserve">Follow a graduation: hourly bridges early consultants with no case studies. Packaged/tiered pricing once you've delivered the work 5+ times. Value-based pricing when ROI is measurable. Three tiers maximum. 73% of clients prefer outcome-based over hourly. Publishing your hourly rate caps your income and invites scrutiny. Publish packages with outcomes instead.</w:t>
      </w:r>
    </w:p>
    <w:p>
      <w:pPr>
        <w:pStyle w:val="Heading2"/>
      </w:pPr>
      <w:r>
        <w:rPr>
          <w:rFonts w:ascii="Arial" w:cs="Arial" w:eastAsia="Arial" w:hAnsi="Arial"/>
          <w:b/>
          <w:bCs/>
        </w:rPr>
        <w:t xml:space="preserve">5.4 Email Benchmarks</w:t>
      </w:r>
    </w:p>
    <w:p>
      <w:pPr>
        <w:pStyle w:val="ListParagraph"/>
        <w:numPr>
          <w:ilvl w:val="0"/>
          <w:numId w:val="3"/>
        </w:numPr>
        <w:spacing w:after="100"/>
      </w:pPr>
      <w:r>
        <w:rPr>
          <w:rFonts w:ascii="Arial" w:cs="Arial" w:eastAsia="Arial" w:hAnsi="Arial"/>
          <w:sz w:val="22"/>
          <w:szCs w:val="22"/>
        </w:rPr>
        <w:t xml:space="preserve">Campaign average open: ~22.7%. Automated flow open rates consistently higher.</w:t>
      </w:r>
    </w:p>
    <w:p>
      <w:pPr>
        <w:pStyle w:val="ListParagraph"/>
        <w:numPr>
          <w:ilvl w:val="0"/>
          <w:numId w:val="3"/>
        </w:numPr>
        <w:spacing w:after="100"/>
      </w:pPr>
      <w:r>
        <w:rPr>
          <w:rFonts w:ascii="Arial" w:cs="Arial" w:eastAsia="Arial" w:hAnsi="Arial"/>
          <w:sz w:val="22"/>
          <w:szCs w:val="22"/>
        </w:rPr>
        <w:t xml:space="preserve">Campaign click: ~2.0%. Flow click: 5.58% (3x campaigns).</w:t>
      </w:r>
    </w:p>
    <w:p>
      <w:pPr>
        <w:pStyle w:val="ListParagraph"/>
        <w:numPr>
          <w:ilvl w:val="0"/>
          <w:numId w:val="3"/>
        </w:numPr>
        <w:spacing w:after="100"/>
      </w:pPr>
      <w:r>
        <w:rPr>
          <w:rFonts w:ascii="Arial" w:cs="Arial" w:eastAsia="Arial" w:hAnsi="Arial"/>
          <w:sz w:val="22"/>
          <w:szCs w:val="22"/>
        </w:rPr>
        <w:t xml:space="preserve">Flows generate ~18x the revenue per recipient of campaigns and produce ~41% of total email revenue despite 5.3% of sends.</w:t>
      </w:r>
    </w:p>
    <w:p>
      <w:pPr>
        <w:pStyle w:val="ListParagraph"/>
        <w:numPr>
          <w:ilvl w:val="0"/>
          <w:numId w:val="3"/>
        </w:numPr>
        <w:spacing w:after="100"/>
      </w:pPr>
      <w:r>
        <w:rPr>
          <w:rFonts w:ascii="Arial" w:cs="Arial" w:eastAsia="Arial" w:hAnsi="Arial"/>
          <w:sz w:val="22"/>
          <w:szCs w:val="22"/>
        </w:rPr>
        <w:t xml:space="preserve">Abandoned cart: 50.5% open, 3.33% conversion, recovers 3-5% of lost sales.</w:t>
      </w:r>
    </w:p>
    <w:p>
      <w:pPr>
        <w:pStyle w:val="ListParagraph"/>
        <w:numPr>
          <w:ilvl w:val="0"/>
          <w:numId w:val="3"/>
        </w:numPr>
        <w:spacing w:after="100"/>
      </w:pPr>
      <w:r>
        <w:rPr>
          <w:rFonts w:ascii="Arial" w:cs="Arial" w:eastAsia="Arial" w:hAnsi="Arial"/>
          <w:sz w:val="22"/>
          <w:szCs w:val="22"/>
        </w:rPr>
        <w:t xml:space="preserve">Overall email ROI: $36-$42 per $1 spent.</w:t>
      </w:r>
    </w:p>
    <w:p>
      <w:pPr>
        <w:pStyle w:val="ListParagraph"/>
        <w:numPr>
          <w:ilvl w:val="0"/>
          <w:numId w:val="3"/>
        </w:numPr>
        <w:spacing w:after="100"/>
      </w:pPr>
      <w:r>
        <w:rPr>
          <w:rFonts w:ascii="Arial" w:cs="Arial" w:eastAsia="Arial" w:hAnsi="Arial"/>
          <w:sz w:val="22"/>
          <w:szCs w:val="22"/>
        </w:rPr>
        <w:t xml:space="preserve">Personalized subject lines lift opens 20-26%. Nurture sequences convert 47% better than single emails.</w:t>
      </w:r>
    </w:p>
    <w:p>
      <w:pPr>
        <w:spacing w:after="160"/>
      </w:pPr>
      <w:r>
        <w:rPr>
          <w:rFonts w:ascii="Arial" w:cs="Arial" w:eastAsia="Arial" w:hAnsi="Arial"/>
          <w:b w:val="false"/>
          <w:bCs w:val="false"/>
          <w:i w:val="false"/>
          <w:iCs w:val="false"/>
          <w:color w:val="1A1A2E"/>
          <w:sz w:val="22"/>
          <w:szCs w:val="22"/>
        </w:rPr>
        <w:t xml:space="preserve">Core sequences: welcome 3-5 emails over 7-14 days, nurture 5-7 over 3-4 weeks, cold outreach 4-6 touches (70% of replies land after touch #2), win-back 3-4 emails to 90+ day inactive with a final break-up email.</w:t>
      </w:r>
    </w:p>
    <w:p>
      <w:r>
        <w:br w:type="page"/>
      </w:r>
    </w:p>
    <w:p>
      <w:pPr>
        <w:pStyle w:val="Heading1"/>
      </w:pPr>
      <w:r>
        <w:rPr>
          <w:rFonts w:ascii="Arial" w:cs="Arial" w:eastAsia="Arial" w:hAnsi="Arial"/>
          <w:b/>
          <w:bCs/>
        </w:rPr>
        <w:t xml:space="preserve">6. SOPs and Operational Systems</w:t>
      </w:r>
    </w:p>
    <w:p>
      <w:pPr>
        <w:spacing w:after="160"/>
      </w:pPr>
      <w:r>
        <w:rPr>
          <w:rFonts w:ascii="Arial" w:cs="Arial" w:eastAsia="Arial" w:hAnsi="Arial"/>
          <w:b w:val="false"/>
          <w:bCs w:val="false"/>
          <w:i w:val="false"/>
          <w:iCs w:val="false"/>
          <w:color w:val="1A1A2E"/>
          <w:sz w:val="22"/>
          <w:szCs w:val="22"/>
        </w:rPr>
        <w:t xml:space="preserve">SOPs become load-bearing the moment you hire your second person. Before that, they're optional for things you hate doing or that break when you're sick. Sam Carpenter's Work the System gives the cleanest architecture: one Strategic Objective (where you're going), General Operating Principles (decision rules), and Working Procedures (the actual SOPs).</w:t>
      </w:r>
    </w:p>
    <w:p>
      <w:pPr>
        <w:pStyle w:val="Heading2"/>
      </w:pPr>
      <w:r>
        <w:rPr>
          <w:rFonts w:ascii="Arial" w:cs="Arial" w:eastAsia="Arial" w:hAnsi="Arial"/>
          <w:b/>
          <w:bCs/>
        </w:rPr>
        <w:t xml:space="preserve">6.1 Format Rules</w:t>
      </w:r>
    </w:p>
    <w:p>
      <w:pPr>
        <w:pStyle w:val="ListParagraph"/>
        <w:numPr>
          <w:ilvl w:val="0"/>
          <w:numId w:val="3"/>
        </w:numPr>
        <w:spacing w:after="100"/>
      </w:pPr>
      <w:r>
        <w:rPr>
          <w:rFonts w:ascii="Arial" w:cs="Arial" w:eastAsia="Arial" w:hAnsi="Arial"/>
          <w:sz w:val="22"/>
          <w:szCs w:val="22"/>
        </w:rPr>
        <w:t xml:space="preserve">Checklists for must-not-skip repeatable tasks</w:t>
      </w:r>
    </w:p>
    <w:p>
      <w:pPr>
        <w:pStyle w:val="ListParagraph"/>
        <w:numPr>
          <w:ilvl w:val="0"/>
          <w:numId w:val="3"/>
        </w:numPr>
        <w:spacing w:after="100"/>
      </w:pPr>
      <w:r>
        <w:rPr>
          <w:rFonts w:ascii="Arial" w:cs="Arial" w:eastAsia="Arial" w:hAnsi="Arial"/>
          <w:sz w:val="22"/>
          <w:szCs w:val="22"/>
        </w:rPr>
        <w:t xml:space="preserve">Narratives for judgment-heavy work</w:t>
      </w:r>
    </w:p>
    <w:p>
      <w:pPr>
        <w:pStyle w:val="ListParagraph"/>
        <w:numPr>
          <w:ilvl w:val="0"/>
          <w:numId w:val="3"/>
        </w:numPr>
        <w:spacing w:after="100"/>
      </w:pPr>
      <w:r>
        <w:rPr>
          <w:rFonts w:ascii="Arial" w:cs="Arial" w:eastAsia="Arial" w:hAnsi="Arial"/>
          <w:sz w:val="22"/>
          <w:szCs w:val="22"/>
        </w:rPr>
        <w:t xml:space="preserve">Flowcharts for decision trees</w:t>
      </w:r>
    </w:p>
    <w:p>
      <w:pPr>
        <w:pStyle w:val="ListParagraph"/>
        <w:numPr>
          <w:ilvl w:val="0"/>
          <w:numId w:val="3"/>
        </w:numPr>
        <w:spacing w:after="100"/>
      </w:pPr>
      <w:r>
        <w:rPr>
          <w:rFonts w:ascii="Arial" w:cs="Arial" w:eastAsia="Arial" w:hAnsi="Arial"/>
          <w:sz w:val="22"/>
          <w:szCs w:val="22"/>
        </w:rPr>
        <w:t xml:space="preserve">Loom videos for fastest capture (worst to update)</w:t>
      </w:r>
    </w:p>
    <w:p>
      <w:pPr>
        <w:pStyle w:val="ListParagraph"/>
        <w:numPr>
          <w:ilvl w:val="0"/>
          <w:numId w:val="3"/>
        </w:numPr>
        <w:spacing w:after="100"/>
      </w:pPr>
      <w:r>
        <w:rPr>
          <w:rFonts w:ascii="Arial" w:cs="Arial" w:eastAsia="Arial" w:hAnsi="Arial"/>
          <w:sz w:val="22"/>
          <w:szCs w:val="22"/>
        </w:rPr>
        <w:t xml:space="preserve">Scribe or Tango ($15-$25/seat) for software workflows</w:t>
      </w:r>
    </w:p>
    <w:p>
      <w:pPr>
        <w:spacing w:after="160"/>
      </w:pPr>
      <w:r>
        <w:rPr>
          <w:rFonts w:ascii="Arial" w:cs="Arial" w:eastAsia="Arial" w:hAnsi="Arial"/>
          <w:b w:val="false"/>
          <w:bCs w:val="false"/>
          <w:i w:val="false"/>
          <w:iCs w:val="false"/>
          <w:color w:val="1A1A2E"/>
          <w:sz w:val="22"/>
          <w:szCs w:val="22"/>
        </w:rPr>
        <w:t xml:space="preserve">The 80/20 SOP rule: 98% accuracy is perfect. Chasing the last 2% creates docs that rot. Every doc needs an owner and a quarterly review date visible on the page. Archive aggressively. Three stale docs are worse than one good one.</w:t>
      </w:r>
    </w:p>
    <w:p>
      <w:pPr>
        <w:pStyle w:val="Heading2"/>
      </w:pPr>
      <w:r>
        <w:rPr>
          <w:rFonts w:ascii="Arial" w:cs="Arial" w:eastAsia="Arial" w:hAnsi="Arial"/>
          <w:b/>
          <w:bCs/>
        </w:rPr>
        <w:t xml:space="preserve">6.2 Over-Engineering Traps</w:t>
      </w:r>
    </w:p>
    <w:p>
      <w:pPr>
        <w:pStyle w:val="ListParagraph"/>
        <w:numPr>
          <w:ilvl w:val="0"/>
          <w:numId w:val="3"/>
        </w:numPr>
        <w:spacing w:after="100"/>
      </w:pPr>
      <w:r>
        <w:rPr>
          <w:rFonts w:ascii="Arial" w:cs="Arial" w:eastAsia="Arial" w:hAnsi="Arial"/>
          <w:sz w:val="22"/>
          <w:szCs w:val="22"/>
        </w:rPr>
        <w:t xml:space="preserve">Writing SOPs for every activity ('document everything' kills trust in documentation)</w:t>
      </w:r>
    </w:p>
    <w:p>
      <w:pPr>
        <w:pStyle w:val="ListParagraph"/>
        <w:numPr>
          <w:ilvl w:val="0"/>
          <w:numId w:val="3"/>
        </w:numPr>
        <w:spacing w:after="100"/>
      </w:pPr>
      <w:r>
        <w:rPr>
          <w:rFonts w:ascii="Arial" w:cs="Arial" w:eastAsia="Arial" w:hAnsi="Arial"/>
          <w:sz w:val="22"/>
          <w:szCs w:val="22"/>
        </w:rPr>
        <w:t xml:space="preserve">Requiring Miro diagrams when numbered lists work</w:t>
      </w:r>
    </w:p>
    <w:p>
      <w:pPr>
        <w:pStyle w:val="ListParagraph"/>
        <w:numPr>
          <w:ilvl w:val="0"/>
          <w:numId w:val="3"/>
        </w:numPr>
        <w:spacing w:after="100"/>
      </w:pPr>
      <w:r>
        <w:rPr>
          <w:rFonts w:ascii="Arial" w:cs="Arial" w:eastAsia="Arial" w:hAnsi="Arial"/>
          <w:sz w:val="22"/>
          <w:szCs w:val="22"/>
        </w:rPr>
        <w:t xml:space="preserve">Notion maximalism with 20 nested databases</w:t>
      </w:r>
    </w:p>
    <w:p>
      <w:pPr>
        <w:pStyle w:val="ListParagraph"/>
        <w:numPr>
          <w:ilvl w:val="0"/>
          <w:numId w:val="3"/>
        </w:numPr>
        <w:spacing w:after="100"/>
      </w:pPr>
      <w:r>
        <w:rPr>
          <w:rFonts w:ascii="Arial" w:cs="Arial" w:eastAsia="Arial" w:hAnsi="Arial"/>
          <w:sz w:val="22"/>
          <w:szCs w:val="22"/>
        </w:rPr>
        <w:t xml:space="preserve">Confluence for a five-person team</w:t>
      </w:r>
    </w:p>
    <w:p>
      <w:pPr>
        <w:pStyle w:val="ListParagraph"/>
        <w:numPr>
          <w:ilvl w:val="0"/>
          <w:numId w:val="3"/>
        </w:numPr>
        <w:spacing w:after="100"/>
      </w:pPr>
      <w:r>
        <w:rPr>
          <w:rFonts w:ascii="Arial" w:cs="Arial" w:eastAsia="Arial" w:hAnsi="Arial"/>
          <w:sz w:val="22"/>
          <w:szCs w:val="22"/>
        </w:rPr>
        <w:t xml:space="preserve">Processes documented by nobody, so they rot within a quarter</w:t>
      </w:r>
    </w:p>
    <w:p>
      <w:r>
        <w:br w:type="page"/>
      </w:r>
    </w:p>
    <w:p>
      <w:pPr>
        <w:pStyle w:val="Heading1"/>
      </w:pPr>
      <w:r>
        <w:rPr>
          <w:rFonts w:ascii="Arial" w:cs="Arial" w:eastAsia="Arial" w:hAnsi="Arial"/>
          <w:b/>
          <w:bCs/>
        </w:rPr>
        <w:t xml:space="preserve">7. Automation vs. Manual (The Judgment Framework)</w:t>
      </w:r>
    </w:p>
    <w:p>
      <w:pPr>
        <w:spacing w:after="160"/>
      </w:pPr>
      <w:r>
        <w:rPr>
          <w:rFonts w:ascii="Arial" w:cs="Arial" w:eastAsia="Arial" w:hAnsi="Arial"/>
          <w:b w:val="false"/>
          <w:bCs w:val="false"/>
          <w:i w:val="false"/>
          <w:iCs w:val="false"/>
          <w:color w:val="1A1A2E"/>
          <w:sz w:val="22"/>
          <w:szCs w:val="22"/>
        </w:rPr>
        <w:t xml:space="preserve">Automate only after the process is stable, documented, and running 10+ times per month. Automating before standardizing hardcodes chaos.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Low Judgment</w:t>
            </w:r>
          </w:p>
        </w:tc>
        <w:tc>
          <w:tcPr>
            <w:tcW w:type="dxa" w:w="46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High Judgment</w:t>
            </w:r>
          </w:p>
        </w:tc>
      </w:tr>
      <w:tr>
        <w:tc>
          <w:tcPr>
            <w:tcW w:type="dxa" w:w="234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High Volume</w:t>
            </w:r>
          </w:p>
        </w:tc>
        <w:tc>
          <w:tcPr>
            <w:tcW w:type="dxa" w:w="234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Fully automate: invoice routing, CRM sync, form-to-CRM, Slack notifications</w:t>
            </w:r>
          </w:p>
        </w:tc>
        <w:tc>
          <w:tcPr>
            <w:tcW w:type="dxa" w:w="4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Human-in-the-loop with AI drafts: sales emails, customer replies, contract drafts</w:t>
            </w:r>
          </w:p>
        </w:tc>
      </w:tr>
      <w:tr>
        <w:tc>
          <w:tcPr>
            <w:tcW w:type="dxa" w:w="234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Low Volume</w:t>
            </w:r>
          </w:p>
        </w:tc>
        <w:tc>
          <w:tcPr>
            <w:tcW w:type="dxa" w:w="234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Template it with checklists. Don't build automation.</w:t>
            </w:r>
          </w:p>
        </w:tc>
        <w:tc>
          <w:tcPr>
            <w:tcW w:type="dxa" w:w="4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Leave fully human: strategy, layoffs, pricing negotiations, crisis communications</w:t>
            </w:r>
          </w:p>
        </w:tc>
      </w:tr>
    </w:tbl>
    <w:p>
      <w:pPr>
        <w:spacing w:after="120"/>
      </w:pPr>
    </w:p>
    <w:p>
      <w:pPr>
        <w:pStyle w:val="Heading2"/>
      </w:pPr>
      <w:r>
        <w:rPr>
          <w:rFonts w:ascii="Arial" w:cs="Arial" w:eastAsia="Arial" w:hAnsi="Arial"/>
          <w:b/>
          <w:bCs/>
        </w:rPr>
        <w:t xml:space="preserve">7.1 Where Humans Must Stay in the Loop, Always</w:t>
      </w:r>
    </w:p>
    <w:p>
      <w:pPr>
        <w:pStyle w:val="ListParagraph"/>
        <w:numPr>
          <w:ilvl w:val="0"/>
          <w:numId w:val="3"/>
        </w:numPr>
        <w:spacing w:after="100"/>
      </w:pPr>
      <w:r>
        <w:rPr>
          <w:rFonts w:ascii="Arial" w:cs="Arial" w:eastAsia="Arial" w:hAnsi="Arial"/>
          <w:sz w:val="22"/>
          <w:szCs w:val="22"/>
        </w:rPr>
        <w:t xml:space="preserve">Hiring and firing decisions</w:t>
      </w:r>
    </w:p>
    <w:p>
      <w:pPr>
        <w:pStyle w:val="ListParagraph"/>
        <w:numPr>
          <w:ilvl w:val="0"/>
          <w:numId w:val="3"/>
        </w:numPr>
        <w:spacing w:after="100"/>
      </w:pPr>
      <w:r>
        <w:rPr>
          <w:rFonts w:ascii="Arial" w:cs="Arial" w:eastAsia="Arial" w:hAnsi="Arial"/>
          <w:sz w:val="22"/>
          <w:szCs w:val="22"/>
        </w:rPr>
        <w:t xml:space="preserve">Pricing strategy and contract negotiation</w:t>
      </w:r>
    </w:p>
    <w:p>
      <w:pPr>
        <w:pStyle w:val="ListParagraph"/>
        <w:numPr>
          <w:ilvl w:val="0"/>
          <w:numId w:val="3"/>
        </w:numPr>
        <w:spacing w:after="100"/>
      </w:pPr>
      <w:r>
        <w:rPr>
          <w:rFonts w:ascii="Arial" w:cs="Arial" w:eastAsia="Arial" w:hAnsi="Arial"/>
          <w:sz w:val="22"/>
          <w:szCs w:val="22"/>
        </w:rPr>
        <w:t xml:space="preserve">Escalated customer complaints</w:t>
      </w:r>
    </w:p>
    <w:p>
      <w:pPr>
        <w:pStyle w:val="ListParagraph"/>
        <w:numPr>
          <w:ilvl w:val="0"/>
          <w:numId w:val="3"/>
        </w:numPr>
        <w:spacing w:after="100"/>
      </w:pPr>
      <w:r>
        <w:rPr>
          <w:rFonts w:ascii="Arial" w:cs="Arial" w:eastAsia="Arial" w:hAnsi="Arial"/>
          <w:sz w:val="22"/>
          <w:szCs w:val="22"/>
        </w:rPr>
        <w:t xml:space="preserve">Financial close and audit sign-off</w:t>
      </w:r>
    </w:p>
    <w:p>
      <w:pPr>
        <w:pStyle w:val="ListParagraph"/>
        <w:numPr>
          <w:ilvl w:val="0"/>
          <w:numId w:val="3"/>
        </w:numPr>
        <w:spacing w:after="100"/>
      </w:pPr>
      <w:r>
        <w:rPr>
          <w:rFonts w:ascii="Arial" w:cs="Arial" w:eastAsia="Arial" w:hAnsi="Arial"/>
          <w:sz w:val="22"/>
          <w:szCs w:val="22"/>
        </w:rPr>
        <w:t xml:space="preserve">First-contact discovery calls in $50K+ ACV sales</w:t>
      </w:r>
    </w:p>
    <w:p>
      <w:pPr>
        <w:pStyle w:val="ListParagraph"/>
        <w:numPr>
          <w:ilvl w:val="0"/>
          <w:numId w:val="3"/>
        </w:numPr>
        <w:spacing w:after="100"/>
      </w:pPr>
      <w:r>
        <w:rPr>
          <w:rFonts w:ascii="Arial" w:cs="Arial" w:eastAsia="Arial" w:hAnsi="Arial"/>
          <w:sz w:val="22"/>
          <w:szCs w:val="22"/>
        </w:rPr>
        <w:t xml:space="preserve">Brand voice and positioning</w:t>
      </w:r>
    </w:p>
    <w:p>
      <w:pPr>
        <w:pStyle w:val="ListParagraph"/>
        <w:numPr>
          <w:ilvl w:val="0"/>
          <w:numId w:val="3"/>
        </w:numPr>
        <w:spacing w:after="100"/>
      </w:pPr>
      <w:r>
        <w:rPr>
          <w:rFonts w:ascii="Arial" w:cs="Arial" w:eastAsia="Arial" w:hAnsi="Arial"/>
          <w:sz w:val="22"/>
          <w:szCs w:val="22"/>
        </w:rPr>
        <w:t xml:space="preserve">Any irreversible outbound action (deletions, payments, public statements)</w:t>
      </w:r>
    </w:p>
    <w:p>
      <w:pPr>
        <w:pStyle w:val="Heading2"/>
      </w:pPr>
      <w:r>
        <w:rPr>
          <w:rFonts w:ascii="Arial" w:cs="Arial" w:eastAsia="Arial" w:hAnsi="Arial"/>
          <w:b/>
          <w:bCs/>
        </w:rPr>
        <w:t xml:space="preserve">7.2 Over-Automation Pitfalls</w:t>
      </w:r>
    </w:p>
    <w:p>
      <w:pPr>
        <w:pStyle w:val="ListParagraph"/>
        <w:numPr>
          <w:ilvl w:val="0"/>
          <w:numId w:val="3"/>
        </w:numPr>
        <w:spacing w:after="100"/>
      </w:pPr>
      <w:r>
        <w:rPr>
          <w:rFonts w:ascii="Arial" w:cs="Arial" w:eastAsia="Arial" w:hAnsi="Arial"/>
          <w:sz w:val="22"/>
          <w:szCs w:val="22"/>
        </w:rPr>
        <w:t xml:space="preserve">Automating broken processes (scales errors, not work)</w:t>
      </w:r>
    </w:p>
    <w:p>
      <w:pPr>
        <w:pStyle w:val="ListParagraph"/>
        <w:numPr>
          <w:ilvl w:val="0"/>
          <w:numId w:val="3"/>
        </w:numPr>
        <w:spacing w:after="100"/>
      </w:pPr>
      <w:r>
        <w:rPr>
          <w:rFonts w:ascii="Arial" w:cs="Arial" w:eastAsia="Arial" w:hAnsi="Arial"/>
          <w:sz w:val="22"/>
          <w:szCs w:val="22"/>
        </w:rPr>
        <w:t xml:space="preserve">Task-bill surprise (monitor Zapier usage, migrate to Make or n8n at ~2,000 tasks/month)</w:t>
      </w:r>
    </w:p>
    <w:p>
      <w:pPr>
        <w:pStyle w:val="ListParagraph"/>
        <w:numPr>
          <w:ilvl w:val="0"/>
          <w:numId w:val="3"/>
        </w:numPr>
        <w:spacing w:after="100"/>
      </w:pPr>
      <w:r>
        <w:rPr>
          <w:rFonts w:ascii="Arial" w:cs="Arial" w:eastAsia="Arial" w:hAnsi="Arial"/>
          <w:sz w:val="22"/>
          <w:szCs w:val="22"/>
        </w:rPr>
        <w:t xml:space="preserve">AI-slop cold outbound (kills reputation and domain health; gate with human approval until reply rates validate)</w:t>
      </w:r>
    </w:p>
    <w:p>
      <w:pPr>
        <w:pStyle w:val="ListParagraph"/>
        <w:numPr>
          <w:ilvl w:val="0"/>
          <w:numId w:val="3"/>
        </w:numPr>
        <w:spacing w:after="100"/>
      </w:pPr>
      <w:r>
        <w:rPr>
          <w:rFonts w:ascii="Arial" w:cs="Arial" w:eastAsia="Arial" w:hAnsi="Arial"/>
          <w:sz w:val="22"/>
          <w:szCs w:val="22"/>
        </w:rPr>
        <w:t xml:space="preserve">Agent theater (replacing a two-step Zap with a multi-turn agent because it's trendy costs 10-50x more in tokens)</w:t>
      </w:r>
    </w:p>
    <w:p>
      <w:pPr>
        <w:pStyle w:val="ListParagraph"/>
        <w:numPr>
          <w:ilvl w:val="0"/>
          <w:numId w:val="3"/>
        </w:numPr>
        <w:spacing w:after="100"/>
      </w:pPr>
      <w:r>
        <w:rPr>
          <w:rFonts w:ascii="Arial" w:cs="Arial" w:eastAsia="Arial" w:hAnsi="Arial"/>
          <w:sz w:val="22"/>
          <w:szCs w:val="22"/>
        </w:rPr>
        <w:t xml:space="preserve">Silent failures (every production flow needs error-routing to Slack or email)</w:t>
      </w:r>
    </w:p>
    <w:p>
      <w:r>
        <w:br w:type="page"/>
      </w:r>
    </w:p>
    <w:p>
      <w:pPr>
        <w:pStyle w:val="Heading1"/>
      </w:pPr>
      <w:r>
        <w:rPr>
          <w:rFonts w:ascii="Arial" w:cs="Arial" w:eastAsia="Arial" w:hAnsi="Arial"/>
          <w:b/>
          <w:bCs/>
        </w:rPr>
        <w:t xml:space="preserve">8. Growth and Strategic Planning</w:t>
      </w:r>
    </w:p>
    <w:p>
      <w:pPr>
        <w:pStyle w:val="Heading2"/>
      </w:pPr>
      <w:r>
        <w:rPr>
          <w:rFonts w:ascii="Arial" w:cs="Arial" w:eastAsia="Arial" w:hAnsi="Arial"/>
          <w:b/>
          <w:bCs/>
        </w:rPr>
        <w:t xml:space="preserve">8.1 Strategic Planning</w:t>
      </w:r>
    </w:p>
    <w:p>
      <w:pPr>
        <w:spacing w:after="160"/>
      </w:pPr>
      <w:r>
        <w:rPr>
          <w:rFonts w:ascii="Arial" w:cs="Arial" w:eastAsia="Arial" w:hAnsi="Arial"/>
          <w:b w:val="false"/>
          <w:bCs w:val="false"/>
          <w:i w:val="false"/>
          <w:iCs w:val="false"/>
          <w:color w:val="1A1A2E"/>
          <w:sz w:val="22"/>
          <w:szCs w:val="22"/>
        </w:rPr>
        <w:t xml:space="preserve">Every operating system (EOS, Scaling Up, 4DX, V2MOM) converges on the same primitives: a 1-2 page strategic plan reviewed weekly, 3-5 goals per cycle, a visible scorecard, and a cadence of accountability. If a strategic document isn't changing next week's resource allocation, it wasn't strategy. Forty-page strategic plans abandoned by March are the dominant failure mode.</w:t>
      </w:r>
    </w:p>
    <w:p>
      <w:pPr>
        <w:pStyle w:val="Heading2"/>
      </w:pPr>
      <w:r>
        <w:rPr>
          <w:rFonts w:ascii="Arial" w:cs="Arial" w:eastAsia="Arial" w:hAnsi="Arial"/>
          <w:b/>
          <w:bCs/>
        </w:rPr>
        <w:t xml:space="preserve">8.2 Goal Frameworks</w:t>
      </w:r>
    </w:p>
    <w:p>
      <w:pPr>
        <w:spacing w:after="160"/>
      </w:pPr>
      <w:r>
        <w:rPr>
          <w:rFonts w:ascii="Arial" w:cs="Arial" w:eastAsia="Arial" w:hAnsi="Arial"/>
          <w:b/>
          <w:bCs/>
          <w:color w:val="1A1A2E"/>
          <w:sz w:val="22"/>
          <w:szCs w:val="22"/>
        </w:rPr>
        <w:t xml:space="preserve">OKRs: </w:t>
      </w:r>
      <w:r>
        <w:rPr>
          <w:rFonts w:ascii="Arial" w:cs="Arial" w:eastAsia="Arial" w:hAnsi="Arial"/>
          <w:color w:val="1A1A2E"/>
          <w:sz w:val="22"/>
          <w:szCs w:val="22"/>
        </w:rPr>
        <w:t xml:space="preserve">3-5 Objectives with 3-5 Key Results each, graded 0.0-1.0 (0.7 on a stretch goal beats 1.0 on a sandbag). Half should be bottom-up, not cascaded top-down. Never tie KRs to comp (produces sandbagging). 'Launch feature X' is not a result; 'activation rate to 35%' is.</w:t>
      </w:r>
    </w:p>
    <w:p>
      <w:pPr>
        <w:spacing w:after="160"/>
      </w:pPr>
      <w:r>
        <w:rPr>
          <w:rFonts w:ascii="Arial" w:cs="Arial" w:eastAsia="Arial" w:hAnsi="Arial"/>
          <w:b/>
          <w:bCs/>
          <w:color w:val="1A1A2E"/>
          <w:sz w:val="22"/>
          <w:szCs w:val="22"/>
        </w:rPr>
        <w:t xml:space="preserve">EOS Rocks: </w:t>
      </w:r>
      <w:r>
        <w:rPr>
          <w:rFonts w:ascii="Arial" w:cs="Arial" w:eastAsia="Arial" w:hAnsi="Arial"/>
          <w:color w:val="1A1A2E"/>
          <w:sz w:val="22"/>
          <w:szCs w:val="22"/>
        </w:rPr>
        <w:t xml:space="preserve">Simpler and binary for non-technical teams. 3-7 per person per quarter.</w:t>
      </w:r>
    </w:p>
    <w:p>
      <w:pPr>
        <w:spacing w:after="160"/>
      </w:pPr>
      <w:r>
        <w:rPr>
          <w:rFonts w:ascii="Arial" w:cs="Arial" w:eastAsia="Arial" w:hAnsi="Arial"/>
          <w:b/>
          <w:bCs/>
          <w:color w:val="1A1A2E"/>
          <w:sz w:val="22"/>
          <w:szCs w:val="22"/>
        </w:rPr>
        <w:t xml:space="preserve">4DX: </w:t>
      </w:r>
      <w:r>
        <w:rPr>
          <w:rFonts w:ascii="Arial" w:cs="Arial" w:eastAsia="Arial" w:hAnsi="Arial"/>
          <w:color w:val="1A1A2E"/>
          <w:sz w:val="22"/>
          <w:szCs w:val="22"/>
        </w:rPr>
        <w:t xml:space="preserve">Layers on top when execution, not planning, is the bottleneck. Pick one operating system, not three.</w:t>
      </w:r>
    </w:p>
    <w:p>
      <w:pPr>
        <w:pStyle w:val="Heading2"/>
      </w:pPr>
      <w:r>
        <w:rPr>
          <w:rFonts w:ascii="Arial" w:cs="Arial" w:eastAsia="Arial" w:hAnsi="Arial"/>
          <w:b/>
          <w:bCs/>
        </w:rPr>
        <w:t xml:space="preserve">8.3 Financial Benchmarks Worth Memorizing</w:t>
      </w:r>
    </w:p>
    <w:p>
      <w:pPr>
        <w:pStyle w:val="ListParagraph"/>
        <w:numPr>
          <w:ilvl w:val="0"/>
          <w:numId w:val="3"/>
        </w:numPr>
        <w:spacing w:after="100"/>
      </w:pPr>
      <w:r>
        <w:rPr>
          <w:rFonts w:ascii="Arial" w:cs="Arial" w:eastAsia="Arial" w:hAnsi="Arial"/>
          <w:sz w:val="22"/>
          <w:szCs w:val="22"/>
        </w:rPr>
        <w:t xml:space="preserve">LTV:CAC ratio: 3:1 is fundable, 5:1+ is top quartile, &lt;1:1 is losing money per customer</w:t>
      </w:r>
    </w:p>
    <w:p>
      <w:pPr>
        <w:pStyle w:val="ListParagraph"/>
        <w:numPr>
          <w:ilvl w:val="0"/>
          <w:numId w:val="3"/>
        </w:numPr>
        <w:spacing w:after="100"/>
      </w:pPr>
      <w:r>
        <w:rPr>
          <w:rFonts w:ascii="Arial" w:cs="Arial" w:eastAsia="Arial" w:hAnsi="Arial"/>
          <w:sz w:val="22"/>
          <w:szCs w:val="22"/>
        </w:rPr>
        <w:t xml:space="preserve">CAC payback: &lt;12 months for SMB/bootstrapped, &lt;18 for venture-backed, 6-9 months is elite</w:t>
      </w:r>
    </w:p>
    <w:p>
      <w:pPr>
        <w:pStyle w:val="ListParagraph"/>
        <w:numPr>
          <w:ilvl w:val="0"/>
          <w:numId w:val="3"/>
        </w:numPr>
        <w:spacing w:after="100"/>
      </w:pPr>
      <w:r>
        <w:rPr>
          <w:rFonts w:ascii="Arial" w:cs="Arial" w:eastAsia="Arial" w:hAnsi="Arial"/>
          <w:sz w:val="22"/>
          <w:szCs w:val="22"/>
        </w:rPr>
        <w:t xml:space="preserve">Net Revenue Retention: median B2B SaaS 102-106%, good 100-120%, best-in-class &gt;130%</w:t>
      </w:r>
    </w:p>
    <w:p>
      <w:pPr>
        <w:pStyle w:val="ListParagraph"/>
        <w:numPr>
          <w:ilvl w:val="0"/>
          <w:numId w:val="3"/>
        </w:numPr>
        <w:spacing w:after="100"/>
      </w:pPr>
      <w:r>
        <w:rPr>
          <w:rFonts w:ascii="Arial" w:cs="Arial" w:eastAsia="Arial" w:hAnsi="Arial"/>
          <w:sz w:val="22"/>
          <w:szCs w:val="22"/>
        </w:rPr>
        <w:t xml:space="preserve">Gross Revenue Retention: 90%+ is table stakes, 95%+ is top quartile</w:t>
      </w:r>
    </w:p>
    <w:p>
      <w:pPr>
        <w:pStyle w:val="ListParagraph"/>
        <w:numPr>
          <w:ilvl w:val="0"/>
          <w:numId w:val="3"/>
        </w:numPr>
        <w:spacing w:after="100"/>
      </w:pPr>
      <w:r>
        <w:rPr>
          <w:rFonts w:ascii="Arial" w:cs="Arial" w:eastAsia="Arial" w:hAnsi="Arial"/>
          <w:sz w:val="22"/>
          <w:szCs w:val="22"/>
        </w:rPr>
        <w:t xml:space="preserve">Rule of 40: growth rate + FCF margin should equal 40%+ for mature SaaS</w:t>
      </w:r>
    </w:p>
    <w:p>
      <w:pPr>
        <w:pStyle w:val="Heading2"/>
      </w:pPr>
      <w:r>
        <w:rPr>
          <w:rFonts w:ascii="Arial" w:cs="Arial" w:eastAsia="Arial" w:hAnsi="Arial"/>
          <w:b/>
          <w:bCs/>
        </w:rPr>
        <w:t xml:space="preserve">8.4 Hiring Scorecards</w:t>
      </w:r>
    </w:p>
    <w:p>
      <w:pPr>
        <w:spacing w:after="160"/>
      </w:pPr>
      <w:r>
        <w:rPr>
          <w:rFonts w:ascii="Arial" w:cs="Arial" w:eastAsia="Arial" w:hAnsi="Arial"/>
          <w:b w:val="false"/>
          <w:bCs w:val="false"/>
          <w:i w:val="false"/>
          <w:iCs w:val="false"/>
          <w:color w:val="1A1A2E"/>
          <w:sz w:val="22"/>
          <w:szCs w:val="22"/>
        </w:rPr>
        <w:t xml:space="preserve">Scorecards beat job descriptions by making outcomes measurable ('grow MRR from $X to $Y by Q4'; 'reduce churn from 4% to 2% in six months') before you write the post. Mis-hire cost runs ~15x annual salary. Typical hiring success without a system is ~50%. Tie headcount to revenue milestones ('1 AE per $1M ARR target'), not calendar dates.</w:t>
      </w:r>
    </w:p>
    <w:p>
      <w:pPr>
        <w:pStyle w:val="Heading2"/>
      </w:pPr>
      <w:r>
        <w:rPr>
          <w:rFonts w:ascii="Arial" w:cs="Arial" w:eastAsia="Arial" w:hAnsi="Arial"/>
          <w:b/>
          <w:bCs/>
        </w:rPr>
        <w:t xml:space="preserve">8.5 Roadmap Format</w:t>
      </w:r>
    </w:p>
    <w:p>
      <w:pPr>
        <w:spacing w:after="160"/>
      </w:pPr>
      <w:r>
        <w:rPr>
          <w:rFonts w:ascii="Arial" w:cs="Arial" w:eastAsia="Arial" w:hAnsi="Arial"/>
          <w:b w:val="false"/>
          <w:bCs w:val="false"/>
          <w:i w:val="false"/>
          <w:iCs w:val="false"/>
          <w:color w:val="1A1A2E"/>
          <w:sz w:val="22"/>
          <w:szCs w:val="22"/>
        </w:rPr>
        <w:t xml:space="preserve">Now/Next/Later beats timeline roadmaps. Three columns, no dates: Now is validated and in motion (~this quarter), Next is validated and waiting for capacity (~1-2 quarters out), Later is problem areas still in discovery (deliberately fuzzy). Timeline roadmaps with made-up dates produce broken promises. A free Notion or Linear three-column board works identically well.</w:t>
      </w:r>
    </w:p>
    <w:p>
      <w:r>
        <w:br w:type="page"/>
      </w:r>
    </w:p>
    <w:p>
      <w:pPr>
        <w:pStyle w:val="Heading1"/>
      </w:pPr>
      <w:r>
        <w:rPr>
          <w:rFonts w:ascii="Arial" w:cs="Arial" w:eastAsia="Arial" w:hAnsi="Arial"/>
          <w:b/>
          <w:bCs/>
        </w:rPr>
        <w:t xml:space="preserve">The Operator's Cheat Sheet</w:t>
      </w:r>
    </w:p>
    <w:p>
      <w:pPr>
        <w:spacing w:after="160"/>
      </w:pPr>
      <w:r>
        <w:rPr>
          <w:rFonts w:ascii="Arial" w:cs="Arial" w:eastAsia="Arial" w:hAnsi="Arial"/>
          <w:b w:val="false"/>
          <w:bCs w:val="false"/>
          <w:i w:val="false"/>
          <w:iCs w:val="false"/>
          <w:color w:val="1A1A2E"/>
          <w:sz w:val="22"/>
          <w:szCs w:val="22"/>
        </w:rPr>
        <w:t xml:space="preserve">Everything this document rolls up to:</w:t>
      </w:r>
    </w:p>
    <w:p>
      <w:pPr>
        <w:pStyle w:val="ListParagraph"/>
        <w:numPr>
          <w:ilvl w:val="0"/>
          <w:numId w:val="3"/>
        </w:numPr>
        <w:spacing w:after="100"/>
      </w:pPr>
      <w:r>
        <w:rPr>
          <w:rFonts w:ascii="Arial" w:cs="Arial" w:eastAsia="Arial" w:hAnsi="Arial"/>
          <w:sz w:val="22"/>
          <w:szCs w:val="22"/>
        </w:rPr>
        <w:t xml:space="preserve">Separate business bank accounts day one</w:t>
      </w:r>
    </w:p>
    <w:p>
      <w:pPr>
        <w:pStyle w:val="ListParagraph"/>
        <w:numPr>
          <w:ilvl w:val="0"/>
          <w:numId w:val="3"/>
        </w:numPr>
        <w:spacing w:after="100"/>
      </w:pPr>
      <w:r>
        <w:rPr>
          <w:rFonts w:ascii="Arial" w:cs="Arial" w:eastAsia="Arial" w:hAnsi="Arial"/>
          <w:sz w:val="22"/>
          <w:szCs w:val="22"/>
        </w:rPr>
        <w:t xml:space="preserve">One operating agreement</w:t>
      </w:r>
    </w:p>
    <w:p>
      <w:pPr>
        <w:pStyle w:val="ListParagraph"/>
        <w:numPr>
          <w:ilvl w:val="0"/>
          <w:numId w:val="3"/>
        </w:numPr>
        <w:spacing w:after="100"/>
      </w:pPr>
      <w:r>
        <w:rPr>
          <w:rFonts w:ascii="Arial" w:cs="Arial" w:eastAsia="Arial" w:hAnsi="Arial"/>
          <w:sz w:val="22"/>
          <w:szCs w:val="22"/>
        </w:rPr>
        <w:t xml:space="preserve">A ten-clause MSA template</w:t>
      </w:r>
    </w:p>
    <w:p>
      <w:pPr>
        <w:pStyle w:val="ListParagraph"/>
        <w:numPr>
          <w:ilvl w:val="0"/>
          <w:numId w:val="3"/>
        </w:numPr>
        <w:spacing w:after="100"/>
      </w:pPr>
      <w:r>
        <w:rPr>
          <w:rFonts w:ascii="Arial" w:cs="Arial" w:eastAsia="Arial" w:hAnsi="Arial"/>
          <w:sz w:val="22"/>
          <w:szCs w:val="22"/>
        </w:rPr>
        <w:t xml:space="preserve">A 24-hour invoicing habit</w:t>
      </w:r>
    </w:p>
    <w:p>
      <w:pPr>
        <w:pStyle w:val="ListParagraph"/>
        <w:numPr>
          <w:ilvl w:val="0"/>
          <w:numId w:val="3"/>
        </w:numPr>
        <w:spacing w:after="100"/>
      </w:pPr>
      <w:r>
        <w:rPr>
          <w:rFonts w:ascii="Arial" w:cs="Arial" w:eastAsia="Arial" w:hAnsi="Arial"/>
          <w:sz w:val="22"/>
          <w:szCs w:val="22"/>
        </w:rPr>
        <w:t xml:space="preserve">Quarterly estimated taxes</w:t>
      </w:r>
    </w:p>
    <w:p>
      <w:pPr>
        <w:pStyle w:val="ListParagraph"/>
        <w:numPr>
          <w:ilvl w:val="0"/>
          <w:numId w:val="3"/>
        </w:numPr>
        <w:spacing w:after="100"/>
      </w:pPr>
      <w:r>
        <w:rPr>
          <w:rFonts w:ascii="Arial" w:cs="Arial" w:eastAsia="Arial" w:hAnsi="Arial"/>
          <w:sz w:val="22"/>
          <w:szCs w:val="22"/>
        </w:rPr>
        <w:t xml:space="preserve">One payroll tool, one CRM, one PM tool, one wiki</w:t>
      </w:r>
    </w:p>
    <w:p>
      <w:pPr>
        <w:pStyle w:val="ListParagraph"/>
        <w:numPr>
          <w:ilvl w:val="0"/>
          <w:numId w:val="3"/>
        </w:numPr>
        <w:spacing w:after="100"/>
      </w:pPr>
      <w:r>
        <w:rPr>
          <w:rFonts w:ascii="Arial" w:cs="Arial" w:eastAsia="Arial" w:hAnsi="Arial"/>
          <w:sz w:val="22"/>
          <w:szCs w:val="22"/>
        </w:rPr>
        <w:t xml:space="preserve">One operating system (EOS, Scaling Up, or 4DX)</w:t>
      </w:r>
    </w:p>
    <w:p>
      <w:pPr>
        <w:pStyle w:val="ListParagraph"/>
        <w:numPr>
          <w:ilvl w:val="0"/>
          <w:numId w:val="3"/>
        </w:numPr>
        <w:spacing w:after="100"/>
      </w:pPr>
      <w:r>
        <w:rPr>
          <w:rFonts w:ascii="Arial" w:cs="Arial" w:eastAsia="Arial" w:hAnsi="Arial"/>
          <w:sz w:val="22"/>
          <w:szCs w:val="22"/>
        </w:rPr>
        <w:t xml:space="preserve">Weekly 1:1s that never get canceled</w:t>
      </w:r>
    </w:p>
    <w:p>
      <w:pPr>
        <w:pStyle w:val="ListParagraph"/>
        <w:numPr>
          <w:ilvl w:val="0"/>
          <w:numId w:val="3"/>
        </w:numPr>
        <w:spacing w:after="100"/>
      </w:pPr>
      <w:r>
        <w:rPr>
          <w:rFonts w:ascii="Arial" w:cs="Arial" w:eastAsia="Arial" w:hAnsi="Arial"/>
          <w:sz w:val="22"/>
          <w:szCs w:val="22"/>
        </w:rPr>
        <w:t xml:space="preserve">A 13-week cash forecast when things get tight</w:t>
      </w:r>
    </w:p>
    <w:p>
      <w:pPr>
        <w:pStyle w:val="ListParagraph"/>
        <w:numPr>
          <w:ilvl w:val="0"/>
          <w:numId w:val="3"/>
        </w:numPr>
        <w:spacing w:after="100"/>
      </w:pPr>
      <w:r>
        <w:rPr>
          <w:rFonts w:ascii="Arial" w:cs="Arial" w:eastAsia="Arial" w:hAnsi="Arial"/>
          <w:sz w:val="22"/>
          <w:szCs w:val="22"/>
        </w:rPr>
        <w:t xml:space="preserve">Reviews that change next week's allocation, not last quarter's score</w:t>
      </w:r>
    </w:p>
    <w:p>
      <w:pPr>
        <w:spacing w:after="200"/>
      </w:pPr>
    </w:p>
    <w:p>
      <w:pPr>
        <w:spacing w:after="160"/>
      </w:pPr>
      <w:r>
        <w:rPr>
          <w:rFonts w:ascii="Arial" w:cs="Arial" w:eastAsia="Arial" w:hAnsi="Arial"/>
          <w:b w:val="false"/>
          <w:bCs w:val="false"/>
          <w:i w:val="false"/>
          <w:iCs w:val="false"/>
          <w:color w:val="1A1A2E"/>
          <w:sz w:val="22"/>
          <w:szCs w:val="22"/>
        </w:rPr>
        <w:t xml:space="preserve">Three rules: match the document to the stage (LLC beats Delaware C-corp until institutional VC requires otherwise, QBO beats NetSuite until ~$20M revenue, Notion beats Confluence under 50 people). Standardize before you automate (automation follows documentation, documentation follows ten successful manual runs). Keep humans in the loop where judgment, reversibility, or relationship matters. The businesses that scale gracefully resist building for the size they want to be and instead build precisely for the size they 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2026-04-18T02:52:23.277Z</dcterms:created>
  <dcterms:modified xsi:type="dcterms:W3CDTF">2026-04-18T02:52:23.278Z</dcterms:modified>
</cp:coreProperties>
</file>

<file path=docProps/custom.xml><?xml version="1.0" encoding="utf-8"?>
<Properties xmlns="http://schemas.openxmlformats.org/officeDocument/2006/custom-properties" xmlns:vt="http://schemas.openxmlformats.org/officeDocument/2006/docPropsVTypes"/>
</file>