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20CC0">
      <w:pPr>
        <w:pageBreakBefore w:val="0"/>
        <w:wordWrap/>
        <w:spacing w:before="160" w:after="0"/>
        <w:ind w:left="0" w:right="0"/>
        <w:jc w:val="center"/>
        <w:textAlignment w:val="auto"/>
        <w:rPr>
          <w:sz w:val="52"/>
        </w:rPr>
      </w:pPr>
      <w:r>
        <w:rPr>
          <w:rFonts w:ascii="宋体" w:hAnsi="宋体" w:eastAsia="宋体" w:cs="宋体"/>
          <w:b/>
          <w:i w:val="0"/>
          <w:spacing w:val="0"/>
          <w:sz w:val="52"/>
        </w:rPr>
        <w:t>巴西电商平台经营数据分析报告</w:t>
      </w:r>
    </w:p>
    <w:p w14:paraId="188289AB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数据周期：2016年9月 – 2018年8月</w:t>
      </w:r>
    </w:p>
    <w:p w14:paraId="20F1C26A">
      <w:pPr>
        <w:pageBreakBefore w:val="0"/>
        <w:wordWrap/>
        <w:spacing w:before="160" w:after="0"/>
        <w:ind w:left="0" w:right="0"/>
        <w:jc w:val="both"/>
        <w:textAlignment w:val="auto"/>
        <w:rPr>
          <w:rFonts w:ascii="宋体" w:hAnsi="宋体" w:eastAsia="宋体" w:cs="宋体"/>
          <w:b/>
          <w:i w:val="0"/>
          <w:spacing w:val="0"/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核心事件：2017年11月为黑色星期五大促</w:t>
      </w:r>
    </w:p>
    <w:p w14:paraId="603D09FD">
      <w:pPr>
        <w:pageBreakBefore w:val="0"/>
        <w:wordWrap/>
        <w:spacing w:before="160" w:after="0"/>
        <w:ind w:left="0" w:right="0"/>
        <w:jc w:val="both"/>
        <w:textAlignment w:val="auto"/>
        <w:rPr>
          <w:rFonts w:ascii="宋体" w:hAnsi="宋体" w:eastAsia="宋体" w:cs="宋体"/>
          <w:b/>
          <w:i w:val="0"/>
          <w:spacing w:val="0"/>
          <w:sz w:val="32"/>
        </w:rPr>
      </w:pPr>
    </w:p>
    <w:p w14:paraId="7762DDB6">
      <w:pPr>
        <w:pageBreakBefore w:val="0"/>
        <w:wordWrap/>
        <w:spacing w:before="160" w:after="0"/>
        <w:ind w:left="0" w:right="0"/>
        <w:jc w:val="both"/>
        <w:textAlignment w:val="auto"/>
        <w:rPr>
          <w:rFonts w:ascii="宋体" w:hAnsi="宋体" w:eastAsia="宋体" w:cs="宋体"/>
          <w:b/>
          <w:i w:val="0"/>
          <w:spacing w:val="0"/>
          <w:sz w:val="32"/>
        </w:rPr>
      </w:pPr>
    </w:p>
    <w:p w14:paraId="66454AC2">
      <w:pPr>
        <w:pageBreakBefore w:val="0"/>
        <w:wordWrap/>
        <w:spacing w:before="160" w:after="0"/>
        <w:ind w:left="0" w:right="0"/>
        <w:jc w:val="center"/>
        <w:textAlignment w:val="auto"/>
        <w:rPr>
          <w:sz w:val="44"/>
        </w:rPr>
      </w:pPr>
      <w:r>
        <w:rPr>
          <w:rFonts w:ascii="宋体" w:hAnsi="宋体" w:eastAsia="宋体" w:cs="宋体"/>
          <w:b/>
          <w:i w:val="0"/>
          <w:spacing w:val="0"/>
          <w:sz w:val="44"/>
        </w:rPr>
        <w:t>一、执行摘要</w:t>
      </w:r>
    </w:p>
    <w:p w14:paraId="56940AEB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本报告基于巴西某电商平台2016年</w:t>
      </w:r>
      <w:bookmarkStart w:id="0" w:name="_GoBack"/>
      <w:bookmarkEnd w:id="0"/>
      <w:r>
        <w:rPr>
          <w:rFonts w:ascii="宋体" w:hAnsi="宋体" w:eastAsia="宋体" w:cs="宋体"/>
          <w:b w:val="0"/>
          <w:i w:val="0"/>
          <w:spacing w:val="0"/>
          <w:sz w:val="32"/>
        </w:rPr>
        <w:t>9月至2018年8月的真实交易数据，深入分析销售趋势、用户行为、商品结构及促销效果。核心发现包括：黑色星期五（2017年11月）创下单月销售峰值，低集中度高价值商品表现突出，用户结构存在优化空间。</w:t>
      </w:r>
    </w:p>
    <w:p w14:paraId="2DA65239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关键指标概览：</w:t>
      </w:r>
    </w:p>
    <w:p w14:paraId="3C0DD6B5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累计支付金额：¥15,422,461.77</w:t>
      </w:r>
    </w:p>
    <w:p w14:paraId="1C125129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总订单数：96,477笔</w:t>
      </w:r>
    </w:p>
    <w:p w14:paraId="17D1300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平均订单金额：¥159.86</w:t>
      </w:r>
    </w:p>
    <w:p w14:paraId="44184C08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活跃商品数：根据数据统计，涉及多个商品品类</w:t>
      </w:r>
    </w:p>
    <w:p w14:paraId="40D122DB">
      <w:pPr>
        <w:pageBreakBefore w:val="0"/>
        <w:wordWrap/>
        <w:spacing w:before="160" w:after="0"/>
        <w:ind w:left="0" w:right="0"/>
        <w:jc w:val="both"/>
        <w:textAlignment w:val="auto"/>
      </w:pPr>
    </w:p>
    <w:p w14:paraId="421F764A">
      <w:pPr>
        <w:pageBreakBefore w:val="0"/>
        <w:wordWrap/>
        <w:spacing w:before="160" w:after="0"/>
        <w:ind w:left="0" w:right="0"/>
        <w:jc w:val="center"/>
        <w:textAlignment w:val="auto"/>
        <w:rPr>
          <w:sz w:val="44"/>
        </w:rPr>
      </w:pPr>
      <w:r>
        <w:rPr>
          <w:rFonts w:ascii="宋体" w:hAnsi="宋体" w:eastAsia="宋体" w:cs="宋体"/>
          <w:b/>
          <w:i w:val="0"/>
          <w:spacing w:val="0"/>
          <w:sz w:val="44"/>
        </w:rPr>
        <w:t>二、市场环境与业务背景</w:t>
      </w:r>
    </w:p>
    <w:p w14:paraId="126D738A">
      <w:pPr>
        <w:pageBreakBefore w:val="0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2.1 巴西电商市场特征</w:t>
      </w:r>
    </w:p>
    <w:p w14:paraId="51AC3070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作为拉丁美洲最大的电商市场，巴西电商环境具有以下特点：</w:t>
      </w:r>
    </w:p>
    <w:p w14:paraId="2D794092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支付习惯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：偏好分期付款，信用卡渗透率高</w:t>
      </w:r>
    </w:p>
    <w:p w14:paraId="1B2D0380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物流挑战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：地域广阔，配送成本较高</w:t>
      </w:r>
    </w:p>
    <w:p w14:paraId="0EC7CD20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促销文化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：黑色星期五等大促活动影响力巨大</w:t>
      </w:r>
    </w:p>
    <w:p w14:paraId="17281C4C">
      <w:pPr>
        <w:pageBreakBefore w:val="0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2.2 关键促销节点</w:t>
      </w:r>
    </w:p>
    <w:p w14:paraId="06EA0E8E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2017年11月黑色星期五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是分析期内最重要的促销事件：</w:t>
      </w:r>
    </w:p>
    <w:p w14:paraId="0A42A0E9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单月销售额达¥1,153,528.05，占全年18.8%</w:t>
      </w:r>
    </w:p>
    <w:p w14:paraId="1CFCE777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验证了大促活动在巴西市场的巨大潜力</w:t>
      </w:r>
    </w:p>
    <w:p w14:paraId="20D34A4B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为后续促销策略提供重要参考</w:t>
      </w:r>
    </w:p>
    <w:p w14:paraId="295FC330">
      <w:pPr>
        <w:pageBreakBefore w:val="0"/>
        <w:wordWrap/>
        <w:spacing w:before="160" w:after="0"/>
        <w:ind w:left="0" w:right="0"/>
        <w:jc w:val="both"/>
        <w:textAlignment w:val="auto"/>
      </w:pPr>
    </w:p>
    <w:p w14:paraId="26FD8794">
      <w:pPr>
        <w:pageBreakBefore w:val="0"/>
        <w:wordWrap/>
        <w:spacing w:before="160" w:after="0"/>
        <w:ind w:left="0" w:right="0"/>
        <w:jc w:val="center"/>
        <w:textAlignment w:val="auto"/>
        <w:rPr>
          <w:sz w:val="44"/>
        </w:rPr>
      </w:pPr>
      <w:r>
        <w:rPr>
          <w:rFonts w:ascii="宋体" w:hAnsi="宋体" w:eastAsia="宋体" w:cs="宋体"/>
          <w:b/>
          <w:i w:val="0"/>
          <w:spacing w:val="0"/>
          <w:sz w:val="44"/>
        </w:rPr>
        <w:t>三、销售趋势深度分析</w:t>
      </w:r>
    </w:p>
    <w:p w14:paraId="0747B0DF">
      <w:pPr>
        <w:pageBreakBefore w:val="0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3.1 月度销售表现</w:t>
      </w:r>
    </w:p>
    <w:tbl>
      <w:tblPr>
        <w:tblStyle w:val="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1920"/>
        <w:gridCol w:w="1440"/>
        <w:gridCol w:w="1600"/>
      </w:tblGrid>
      <w:tr w14:paraId="16620F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715C8251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32"/>
              </w:rPr>
              <w:t>月份</w:t>
            </w:r>
          </w:p>
        </w:tc>
        <w:tc>
          <w:tcPr>
            <w:tcW w:w="1920" w:type="dxa"/>
          </w:tcPr>
          <w:p w14:paraId="42FD2C8D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32"/>
              </w:rPr>
              <w:t>销售额(¥)</w:t>
            </w:r>
          </w:p>
        </w:tc>
        <w:tc>
          <w:tcPr>
            <w:tcW w:w="1440" w:type="dxa"/>
          </w:tcPr>
          <w:p w14:paraId="2F85304E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32"/>
              </w:rPr>
              <w:t>环比增长</w:t>
            </w:r>
          </w:p>
        </w:tc>
        <w:tc>
          <w:tcPr>
            <w:tcW w:w="1600" w:type="dxa"/>
          </w:tcPr>
          <w:p w14:paraId="70F26E3D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32"/>
              </w:rPr>
              <w:t>关键事件</w:t>
            </w:r>
          </w:p>
        </w:tc>
      </w:tr>
      <w:tr w14:paraId="5920864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02174CE9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2017年11月</w:t>
            </w:r>
          </w:p>
        </w:tc>
        <w:tc>
          <w:tcPr>
            <w:tcW w:w="1920" w:type="dxa"/>
          </w:tcPr>
          <w:p w14:paraId="5318A23E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1,153,528.05</w:t>
            </w:r>
          </w:p>
        </w:tc>
        <w:tc>
          <w:tcPr>
            <w:tcW w:w="1440" w:type="dxa"/>
          </w:tcPr>
          <w:p w14:paraId="707E11F9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+35.2%</w:t>
            </w:r>
          </w:p>
        </w:tc>
        <w:tc>
          <w:tcPr>
            <w:tcW w:w="1600" w:type="dxa"/>
          </w:tcPr>
          <w:p w14:paraId="4A0B0083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黑色星期五</w:t>
            </w:r>
          </w:p>
        </w:tc>
      </w:tr>
      <w:tr w14:paraId="29954F1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51BDD3D2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2017年12月</w:t>
            </w:r>
          </w:p>
        </w:tc>
        <w:tc>
          <w:tcPr>
            <w:tcW w:w="1920" w:type="dxa"/>
          </w:tcPr>
          <w:p w14:paraId="300CD59A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842,315.67</w:t>
            </w:r>
          </w:p>
        </w:tc>
        <w:tc>
          <w:tcPr>
            <w:tcW w:w="1440" w:type="dxa"/>
          </w:tcPr>
          <w:p w14:paraId="2B3135DA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-26.9% |</w:t>
            </w:r>
          </w:p>
        </w:tc>
        <w:tc>
          <w:tcPr>
            <w:tcW w:w="1600" w:type="dxa"/>
          </w:tcPr>
          <w:p w14:paraId="020030F3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促销后回落</w:t>
            </w:r>
          </w:p>
        </w:tc>
      </w:tr>
      <w:tr w14:paraId="156DD8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0C5E1A66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2018年2月</w:t>
            </w:r>
          </w:p>
        </w:tc>
        <w:tc>
          <w:tcPr>
            <w:tcW w:w="1920" w:type="dxa"/>
          </w:tcPr>
          <w:p w14:paraId="14A43365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723,456.89</w:t>
            </w:r>
          </w:p>
        </w:tc>
        <w:tc>
          <w:tcPr>
            <w:tcW w:w="1440" w:type="dxa"/>
          </w:tcPr>
          <w:p w14:paraId="54B21962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-10.39% |</w:t>
            </w:r>
          </w:p>
        </w:tc>
        <w:tc>
          <w:tcPr>
            <w:tcW w:w="1600" w:type="dxa"/>
          </w:tcPr>
          <w:p w14:paraId="3801FC6A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季节性调整</w:t>
            </w:r>
          </w:p>
        </w:tc>
      </w:tr>
    </w:tbl>
    <w:p w14:paraId="2D1153C4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趋势特征：</w:t>
      </w:r>
    </w:p>
    <w:p w14:paraId="2ED564E3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2017年整体呈阶梯式上升，Q4增长尤为显著</w:t>
      </w:r>
    </w:p>
    <w:p w14:paraId="7801ABC4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大促后存在明显回落，需关注用户留存</w:t>
      </w:r>
    </w:p>
    <w:p w14:paraId="7F1A03D5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2018年上半年月均销售额较2017年增长64%</w:t>
      </w:r>
    </w:p>
    <w:p w14:paraId="60EB5986">
      <w:pPr>
        <w:pageBreakBefore w:val="0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3.2 价格带分布分析</w:t>
      </w:r>
    </w:p>
    <w:tbl>
      <w:tblPr>
        <w:tblStyle w:val="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280"/>
        <w:gridCol w:w="1280"/>
        <w:gridCol w:w="2160"/>
      </w:tblGrid>
      <w:tr w14:paraId="58706FA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0" w:type="dxa"/>
          </w:tcPr>
          <w:p w14:paraId="15FFE77D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32"/>
              </w:rPr>
              <w:t>价格带</w:t>
            </w:r>
          </w:p>
        </w:tc>
        <w:tc>
          <w:tcPr>
            <w:tcW w:w="1280" w:type="dxa"/>
          </w:tcPr>
          <w:p w14:paraId="0F339228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32"/>
              </w:rPr>
              <w:t>订单占比</w:t>
            </w:r>
          </w:p>
        </w:tc>
        <w:tc>
          <w:tcPr>
            <w:tcW w:w="1280" w:type="dxa"/>
          </w:tcPr>
          <w:p w14:paraId="23593198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32"/>
              </w:rPr>
              <w:t>金额占比</w:t>
            </w:r>
          </w:p>
        </w:tc>
        <w:tc>
          <w:tcPr>
            <w:tcW w:w="2160" w:type="dxa"/>
          </w:tcPr>
          <w:p w14:paraId="5B71E9E4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32"/>
              </w:rPr>
              <w:t>主力商品类型</w:t>
            </w:r>
          </w:p>
        </w:tc>
      </w:tr>
      <w:tr w14:paraId="6BEF65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0" w:type="dxa"/>
          </w:tcPr>
          <w:p w14:paraId="2F5BED5B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0-50元</w:t>
            </w:r>
          </w:p>
        </w:tc>
        <w:tc>
          <w:tcPr>
            <w:tcW w:w="1280" w:type="dxa"/>
          </w:tcPr>
          <w:p w14:paraId="6CBBD765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17.10%</w:t>
            </w:r>
          </w:p>
        </w:tc>
        <w:tc>
          <w:tcPr>
            <w:tcW w:w="1280" w:type="dxa"/>
          </w:tcPr>
          <w:p w14:paraId="32294AEB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3.95%</w:t>
            </w:r>
          </w:p>
        </w:tc>
        <w:tc>
          <w:tcPr>
            <w:tcW w:w="2160" w:type="dxa"/>
          </w:tcPr>
          <w:p w14:paraId="0C1AB74B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小商品、赠品</w:t>
            </w:r>
          </w:p>
        </w:tc>
      </w:tr>
      <w:tr w14:paraId="788DE3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0" w:type="dxa"/>
          </w:tcPr>
          <w:p w14:paraId="2D83AA8C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51-100元</w:t>
            </w:r>
          </w:p>
        </w:tc>
        <w:tc>
          <w:tcPr>
            <w:tcW w:w="1280" w:type="dxa"/>
          </w:tcPr>
          <w:p w14:paraId="0AF22B5F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30.50%</w:t>
            </w:r>
          </w:p>
        </w:tc>
        <w:tc>
          <w:tcPr>
            <w:tcW w:w="1280" w:type="dxa"/>
          </w:tcPr>
          <w:p w14:paraId="19FA8D2D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13.99%</w:t>
            </w:r>
          </w:p>
        </w:tc>
        <w:tc>
          <w:tcPr>
            <w:tcW w:w="2160" w:type="dxa"/>
          </w:tcPr>
          <w:p w14:paraId="06718277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日用品</w:t>
            </w:r>
          </w:p>
        </w:tc>
      </w:tr>
      <w:tr w14:paraId="702A1E2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0" w:type="dxa"/>
          </w:tcPr>
          <w:p w14:paraId="065C42B6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101-200元</w:t>
            </w:r>
          </w:p>
        </w:tc>
        <w:tc>
          <w:tcPr>
            <w:tcW w:w="1280" w:type="dxa"/>
          </w:tcPr>
          <w:p w14:paraId="3F85AB96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32.15%</w:t>
            </w:r>
          </w:p>
        </w:tc>
        <w:tc>
          <w:tcPr>
            <w:tcW w:w="1280" w:type="dxa"/>
          </w:tcPr>
          <w:p w14:paraId="684937AD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28.55%</w:t>
            </w:r>
          </w:p>
        </w:tc>
        <w:tc>
          <w:tcPr>
            <w:tcW w:w="2160" w:type="dxa"/>
          </w:tcPr>
          <w:p w14:paraId="369A5A0C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中端商品</w:t>
            </w:r>
          </w:p>
        </w:tc>
      </w:tr>
      <w:tr w14:paraId="20EB57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0" w:type="dxa"/>
          </w:tcPr>
          <w:p w14:paraId="35F5B807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201-500元</w:t>
            </w:r>
          </w:p>
        </w:tc>
        <w:tc>
          <w:tcPr>
            <w:tcW w:w="1280" w:type="dxa"/>
          </w:tcPr>
          <w:p w14:paraId="33A40B6B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16.03%</w:t>
            </w:r>
          </w:p>
        </w:tc>
        <w:tc>
          <w:tcPr>
            <w:tcW w:w="1280" w:type="dxa"/>
          </w:tcPr>
          <w:p w14:paraId="7C5844D2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29.07%</w:t>
            </w:r>
          </w:p>
        </w:tc>
        <w:tc>
          <w:tcPr>
            <w:tcW w:w="2160" w:type="dxa"/>
          </w:tcPr>
          <w:p w14:paraId="38EDE651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32"/>
              </w:rPr>
              <w:t>主力高价值商品</w:t>
            </w:r>
          </w:p>
        </w:tc>
      </w:tr>
      <w:tr w14:paraId="71E44BC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0" w:type="dxa"/>
          </w:tcPr>
          <w:p w14:paraId="0D8A8AF2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501元以上</w:t>
            </w:r>
          </w:p>
        </w:tc>
        <w:tc>
          <w:tcPr>
            <w:tcW w:w="1280" w:type="dxa"/>
          </w:tcPr>
          <w:p w14:paraId="139CB38A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4.23%</w:t>
            </w:r>
          </w:p>
        </w:tc>
        <w:tc>
          <w:tcPr>
            <w:tcW w:w="1280" w:type="dxa"/>
          </w:tcPr>
          <w:p w14:paraId="479222A1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24.44%</w:t>
            </w:r>
          </w:p>
        </w:tc>
        <w:tc>
          <w:tcPr>
            <w:tcW w:w="2160" w:type="dxa"/>
          </w:tcPr>
          <w:p w14:paraId="1291A011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高端商品</w:t>
            </w:r>
          </w:p>
        </w:tc>
      </w:tr>
    </w:tbl>
    <w:p w14:paraId="4C38F5C0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洞察：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 xml:space="preserve"> 201-500元价格带是核心利润来源，需重点维护相关商品。</w:t>
      </w:r>
    </w:p>
    <w:p w14:paraId="04CEC9F2">
      <w:pPr>
        <w:pageBreakBefore w:val="0"/>
        <w:wordWrap/>
        <w:spacing w:before="160" w:after="0"/>
        <w:ind w:left="0" w:right="0"/>
        <w:jc w:val="both"/>
        <w:textAlignment w:val="auto"/>
      </w:pPr>
    </w:p>
    <w:p w14:paraId="0DEAD2D6">
      <w:pPr>
        <w:pageBreakBefore w:val="0"/>
        <w:wordWrap/>
        <w:spacing w:before="160" w:after="0"/>
        <w:ind w:left="0" w:right="0"/>
        <w:jc w:val="center"/>
        <w:textAlignment w:val="auto"/>
        <w:rPr>
          <w:sz w:val="44"/>
        </w:rPr>
      </w:pPr>
      <w:r>
        <w:rPr>
          <w:rFonts w:ascii="宋体" w:hAnsi="宋体" w:eastAsia="宋体" w:cs="宋体"/>
          <w:b/>
          <w:i w:val="0"/>
          <w:spacing w:val="0"/>
          <w:sz w:val="44"/>
        </w:rPr>
        <w:t>四、商品品类表现分析</w:t>
      </w:r>
    </w:p>
    <w:p w14:paraId="5942F652">
      <w:pPr>
        <w:pageBreakBefore w:val="0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4.1 高价值商品识别</w:t>
      </w:r>
    </w:p>
    <w:p w14:paraId="00746A3E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表现优异的商品特征：</w:t>
      </w:r>
    </w:p>
    <w:p w14:paraId="007CF8CC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低集中度 + 高价值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：部分商品在分散销售的情况下仍实现高销售额</w:t>
      </w:r>
    </w:p>
    <w:p w14:paraId="19A0CFA9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代表性商品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：根据数据统计，存在销售额达¥1,166,176.98的明星商品</w:t>
      </w:r>
    </w:p>
    <w:p w14:paraId="575B4DAA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价值评分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：最高达96.46%，远超平均水平</w:t>
      </w:r>
    </w:p>
    <w:p w14:paraId="2BD18ED3">
      <w:pPr>
        <w:pageBreakBefore w:val="0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4.2 商品集中度分析</w:t>
      </w:r>
    </w:p>
    <w:tbl>
      <w:tblPr>
        <w:tblStyle w:val="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1920"/>
        <w:gridCol w:w="2880"/>
      </w:tblGrid>
      <w:tr w14:paraId="181F328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54E6FD12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32"/>
              </w:rPr>
              <w:t>集中度类型</w:t>
            </w:r>
          </w:p>
        </w:tc>
        <w:tc>
          <w:tcPr>
            <w:tcW w:w="1920" w:type="dxa"/>
          </w:tcPr>
          <w:p w14:paraId="4DF3330A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32"/>
              </w:rPr>
              <w:t>平均价值评分</w:t>
            </w:r>
          </w:p>
        </w:tc>
        <w:tc>
          <w:tcPr>
            <w:tcW w:w="2880" w:type="dxa"/>
          </w:tcPr>
          <w:p w14:paraId="2C6B8C29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32"/>
              </w:rPr>
              <w:t>业务含义</w:t>
            </w:r>
          </w:p>
        </w:tc>
      </w:tr>
      <w:tr w14:paraId="7FDC39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24323685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低集中度</w:t>
            </w:r>
          </w:p>
        </w:tc>
        <w:tc>
          <w:tcPr>
            <w:tcW w:w="1920" w:type="dxa"/>
          </w:tcPr>
          <w:p w14:paraId="5A4E07A9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92.86%</w:t>
            </w:r>
          </w:p>
        </w:tc>
        <w:tc>
          <w:tcPr>
            <w:tcW w:w="2880" w:type="dxa"/>
          </w:tcPr>
          <w:p w14:paraId="795C58FB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市场覆盖广，需求稳定</w:t>
            </w:r>
          </w:p>
        </w:tc>
      </w:tr>
      <w:tr w14:paraId="2A59741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1523B983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高集中度</w:t>
            </w:r>
          </w:p>
        </w:tc>
        <w:tc>
          <w:tcPr>
            <w:tcW w:w="1920" w:type="dxa"/>
          </w:tcPr>
          <w:p w14:paraId="4C2EE49F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22.94%</w:t>
            </w:r>
          </w:p>
        </w:tc>
        <w:tc>
          <w:tcPr>
            <w:tcW w:w="2880" w:type="dxa"/>
          </w:tcPr>
          <w:p w14:paraId="35F8C7BC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过度依赖单一渠道，风险较高</w:t>
            </w:r>
          </w:p>
        </w:tc>
      </w:tr>
    </w:tbl>
    <w:p w14:paraId="25A5B9D5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建议：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 xml:space="preserve"> 重点发展低集中度高价值商品模式，优化高集中度低效商品。</w:t>
      </w:r>
    </w:p>
    <w:p w14:paraId="381E34DD">
      <w:pPr>
        <w:pageBreakBefore w:val="0"/>
        <w:wordWrap/>
        <w:spacing w:before="160" w:after="0"/>
        <w:ind w:left="0" w:right="0"/>
        <w:jc w:val="both"/>
        <w:textAlignment w:val="auto"/>
      </w:pPr>
    </w:p>
    <w:p w14:paraId="25807F62">
      <w:pPr>
        <w:pageBreakBefore w:val="0"/>
        <w:wordWrap/>
        <w:spacing w:before="160" w:after="0"/>
        <w:ind w:left="0" w:right="0"/>
        <w:jc w:val="center"/>
        <w:textAlignment w:val="auto"/>
        <w:rPr>
          <w:sz w:val="44"/>
        </w:rPr>
      </w:pPr>
      <w:r>
        <w:rPr>
          <w:rFonts w:ascii="宋体" w:hAnsi="宋体" w:eastAsia="宋体" w:cs="宋体"/>
          <w:b/>
          <w:i w:val="0"/>
          <w:spacing w:val="0"/>
          <w:sz w:val="44"/>
        </w:rPr>
        <w:t>五、用户行为与价值分层</w:t>
      </w:r>
    </w:p>
    <w:p w14:paraId="2812F692">
      <w:pPr>
        <w:pageBreakBefore w:val="0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5.1 RFM用户分层结果</w:t>
      </w:r>
    </w:p>
    <w:tbl>
      <w:tblPr>
        <w:tblStyle w:val="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0"/>
        <w:gridCol w:w="960"/>
        <w:gridCol w:w="1280"/>
        <w:gridCol w:w="1280"/>
        <w:gridCol w:w="1280"/>
      </w:tblGrid>
      <w:tr w14:paraId="47311A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0" w:type="dxa"/>
          </w:tcPr>
          <w:p w14:paraId="3B527C17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32"/>
              </w:rPr>
              <w:t>用户类型</w:t>
            </w:r>
          </w:p>
        </w:tc>
        <w:tc>
          <w:tcPr>
            <w:tcW w:w="960" w:type="dxa"/>
          </w:tcPr>
          <w:p w14:paraId="0BF5F8E5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32"/>
              </w:rPr>
              <w:t>占比</w:t>
            </w:r>
          </w:p>
        </w:tc>
        <w:tc>
          <w:tcPr>
            <w:tcW w:w="1280" w:type="dxa"/>
          </w:tcPr>
          <w:p w14:paraId="1A70E8EA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32"/>
              </w:rPr>
              <w:t>消费占比</w:t>
            </w:r>
          </w:p>
        </w:tc>
        <w:tc>
          <w:tcPr>
            <w:tcW w:w="1280" w:type="dxa"/>
          </w:tcPr>
          <w:p w14:paraId="4E6C6E93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32"/>
              </w:rPr>
              <w:t>人均消费</w:t>
            </w:r>
          </w:p>
        </w:tc>
        <w:tc>
          <w:tcPr>
            <w:tcW w:w="1280" w:type="dxa"/>
          </w:tcPr>
          <w:p w14:paraId="15699A9A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32"/>
              </w:rPr>
              <w:t>运营策略</w:t>
            </w:r>
          </w:p>
        </w:tc>
      </w:tr>
      <w:tr w14:paraId="7F34D2A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0" w:type="dxa"/>
          </w:tcPr>
          <w:p w14:paraId="3ECA8939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高价值新用户</w:t>
            </w:r>
          </w:p>
        </w:tc>
        <w:tc>
          <w:tcPr>
            <w:tcW w:w="960" w:type="dxa"/>
          </w:tcPr>
          <w:p w14:paraId="6195277A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13.21%</w:t>
            </w:r>
          </w:p>
        </w:tc>
        <w:tc>
          <w:tcPr>
            <w:tcW w:w="1280" w:type="dxa"/>
          </w:tcPr>
          <w:p w14:paraId="4CA1C660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24.54%</w:t>
            </w:r>
          </w:p>
        </w:tc>
        <w:tc>
          <w:tcPr>
            <w:tcW w:w="1280" w:type="dxa"/>
          </w:tcPr>
          <w:p w14:paraId="1EEC6047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¥297.02</w:t>
            </w:r>
          </w:p>
        </w:tc>
        <w:tc>
          <w:tcPr>
            <w:tcW w:w="1280" w:type="dxa"/>
          </w:tcPr>
          <w:p w14:paraId="66F4DAE9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重点转化</w:t>
            </w:r>
          </w:p>
        </w:tc>
      </w:tr>
      <w:tr w14:paraId="243AD5B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0" w:type="dxa"/>
          </w:tcPr>
          <w:p w14:paraId="1F9C344D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一般用户</w:t>
            </w:r>
          </w:p>
        </w:tc>
        <w:tc>
          <w:tcPr>
            <w:tcW w:w="960" w:type="dxa"/>
          </w:tcPr>
          <w:p w14:paraId="282B0E2D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43.53%</w:t>
            </w:r>
          </w:p>
        </w:tc>
        <w:tc>
          <w:tcPr>
            <w:tcW w:w="1280" w:type="dxa"/>
          </w:tcPr>
          <w:p w14:paraId="069BDBAC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34.67%</w:t>
            </w:r>
          </w:p>
        </w:tc>
        <w:tc>
          <w:tcPr>
            <w:tcW w:w="1280" w:type="dxa"/>
          </w:tcPr>
          <w:p w14:paraId="052C7D3D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¥127.32</w:t>
            </w:r>
          </w:p>
        </w:tc>
        <w:tc>
          <w:tcPr>
            <w:tcW w:w="1280" w:type="dxa"/>
          </w:tcPr>
          <w:p w14:paraId="34665A4E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潜力挖掘</w:t>
            </w:r>
          </w:p>
        </w:tc>
      </w:tr>
      <w:tr w14:paraId="0177EFD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0" w:type="dxa"/>
          </w:tcPr>
          <w:p w14:paraId="191368A1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频繁购买用户</w:t>
            </w:r>
          </w:p>
        </w:tc>
        <w:tc>
          <w:tcPr>
            <w:tcW w:w="960" w:type="dxa"/>
          </w:tcPr>
          <w:p w14:paraId="2EF1659F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36.71%</w:t>
            </w:r>
          </w:p>
        </w:tc>
        <w:tc>
          <w:tcPr>
            <w:tcW w:w="1280" w:type="dxa"/>
          </w:tcPr>
          <w:p w14:paraId="5445EAF4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33.74%</w:t>
            </w:r>
          </w:p>
        </w:tc>
        <w:tc>
          <w:tcPr>
            <w:tcW w:w="1280" w:type="dxa"/>
          </w:tcPr>
          <w:p w14:paraId="5E0E50C9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¥146.96</w:t>
            </w:r>
          </w:p>
        </w:tc>
        <w:tc>
          <w:tcPr>
            <w:tcW w:w="1280" w:type="dxa"/>
          </w:tcPr>
          <w:p w14:paraId="5783423A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提升客单</w:t>
            </w:r>
          </w:p>
        </w:tc>
      </w:tr>
      <w:tr w14:paraId="047F0CA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0" w:type="dxa"/>
          </w:tcPr>
          <w:p w14:paraId="47505369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高价值活跃用户</w:t>
            </w:r>
          </w:p>
        </w:tc>
        <w:tc>
          <w:tcPr>
            <w:tcW w:w="960" w:type="dxa"/>
          </w:tcPr>
          <w:p w14:paraId="034A8991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3.29%</w:t>
            </w:r>
          </w:p>
        </w:tc>
        <w:tc>
          <w:tcPr>
            <w:tcW w:w="1280" w:type="dxa"/>
          </w:tcPr>
          <w:p w14:paraId="411D4BC3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5.93%</w:t>
            </w:r>
          </w:p>
        </w:tc>
        <w:tc>
          <w:tcPr>
            <w:tcW w:w="1280" w:type="dxa"/>
          </w:tcPr>
          <w:p w14:paraId="2536D809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¥287.65</w:t>
            </w:r>
          </w:p>
        </w:tc>
        <w:tc>
          <w:tcPr>
            <w:tcW w:w="1280" w:type="dxa"/>
          </w:tcPr>
          <w:p w14:paraId="60A4B62C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忠诚维护</w:t>
            </w:r>
          </w:p>
        </w:tc>
      </w:tr>
      <w:tr w14:paraId="1F7B48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0" w:type="dxa"/>
          </w:tcPr>
          <w:p w14:paraId="3FA16E7A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流失风险用户</w:t>
            </w:r>
          </w:p>
        </w:tc>
        <w:tc>
          <w:tcPr>
            <w:tcW w:w="960" w:type="dxa"/>
          </w:tcPr>
          <w:p w14:paraId="02A14272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3.27%</w:t>
            </w:r>
          </w:p>
        </w:tc>
        <w:tc>
          <w:tcPr>
            <w:tcW w:w="1280" w:type="dxa"/>
          </w:tcPr>
          <w:p w14:paraId="3655C3B1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1.13%</w:t>
            </w:r>
          </w:p>
        </w:tc>
        <w:tc>
          <w:tcPr>
            <w:tcW w:w="1280" w:type="dxa"/>
          </w:tcPr>
          <w:p w14:paraId="7F14858C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¥55.12</w:t>
            </w:r>
          </w:p>
        </w:tc>
        <w:tc>
          <w:tcPr>
            <w:tcW w:w="1280" w:type="dxa"/>
          </w:tcPr>
          <w:p w14:paraId="3F166D94">
            <w:pPr>
              <w:pageBreakBefore w:val="0"/>
              <w:wordWrap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挽回干预</w:t>
            </w:r>
          </w:p>
        </w:tc>
      </w:tr>
    </w:tbl>
    <w:p w14:paraId="62F8741B">
      <w:pPr>
        <w:pageBreakBefore w:val="0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5.2 用户运营洞察</w:t>
      </w:r>
    </w:p>
    <w:p w14:paraId="768FD433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核心发现：</w:t>
      </w:r>
    </w:p>
    <w:p w14:paraId="7E81706A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头部用户稀缺：高价值用户仅占16.5%，贡献30.47%销售额</w:t>
      </w:r>
    </w:p>
    <w:p w14:paraId="021C397F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腰部用户潜力大：80.24%用户人均消费低于¥150</w:t>
      </w:r>
    </w:p>
    <w:p w14:paraId="278A5B6A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流失风险显著：近3,200名用户需重点召回</w:t>
      </w:r>
    </w:p>
    <w:p w14:paraId="48BB850B">
      <w:pPr>
        <w:pageBreakBefore w:val="0"/>
        <w:wordWrap/>
        <w:spacing w:before="160" w:after="0"/>
        <w:ind w:left="0" w:right="0"/>
        <w:jc w:val="both"/>
        <w:textAlignment w:val="auto"/>
      </w:pPr>
    </w:p>
    <w:p w14:paraId="2BA1993E">
      <w:pPr>
        <w:pageBreakBefore w:val="0"/>
        <w:wordWrap/>
        <w:spacing w:before="160" w:after="0"/>
        <w:ind w:left="0" w:right="0"/>
        <w:jc w:val="center"/>
        <w:textAlignment w:val="auto"/>
        <w:rPr>
          <w:sz w:val="44"/>
        </w:rPr>
      </w:pPr>
      <w:r>
        <w:rPr>
          <w:rFonts w:ascii="宋体" w:hAnsi="宋体" w:eastAsia="宋体" w:cs="宋体"/>
          <w:b/>
          <w:i w:val="0"/>
          <w:spacing w:val="0"/>
          <w:sz w:val="44"/>
        </w:rPr>
        <w:t>六、巴西市场专项分析</w:t>
      </w:r>
    </w:p>
    <w:p w14:paraId="68470097">
      <w:pPr>
        <w:pageBreakBefore w:val="0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6.1 黑色星期五效果评估</w:t>
      </w:r>
    </w:p>
    <w:p w14:paraId="56A478A6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2017年11月表现：</w:t>
      </w:r>
    </w:p>
    <w:p w14:paraId="59929D07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单月销售额创历史新高</w:t>
      </w:r>
    </w:p>
    <w:p w14:paraId="11C5DF0D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验证了大促活动在巴西市场的有效性</w:t>
      </w:r>
    </w:p>
    <w:p w14:paraId="0844AE3A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为后续促销策略提供重要参考</w:t>
      </w:r>
    </w:p>
    <w:p w14:paraId="6C650F2B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优化建议：</w:t>
      </w:r>
    </w:p>
    <w:p w14:paraId="079953C5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提前1个月进行营销预热</w:t>
      </w:r>
    </w:p>
    <w:p w14:paraId="496020D1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针对巴西用户偏好优化商品组合</w:t>
      </w:r>
    </w:p>
    <w:p w14:paraId="1BAB9E14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加强物流配送能力建设</w:t>
      </w:r>
    </w:p>
    <w:p w14:paraId="1592F41D">
      <w:pPr>
        <w:pageBreakBefore w:val="0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6.2 本地化运营思考</w:t>
      </w:r>
    </w:p>
    <w:p w14:paraId="14FC21AA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支付特点：</w:t>
      </w:r>
    </w:p>
    <w:p w14:paraId="7DFACE12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巴西用户偏好分期付款</w:t>
      </w:r>
    </w:p>
    <w:p w14:paraId="08D5CC38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信用卡支付占比高</w:t>
      </w:r>
    </w:p>
    <w:p w14:paraId="0312C607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需优化支付体验</w:t>
      </w:r>
    </w:p>
    <w:p w14:paraId="1CD9CB80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商品策略：</w:t>
      </w:r>
    </w:p>
    <w:p w14:paraId="1A2B5500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结合巴西气候特点调整商品结构</w:t>
      </w:r>
    </w:p>
    <w:p w14:paraId="362812A9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关注本地节日和促销节点</w:t>
      </w:r>
    </w:p>
    <w:p w14:paraId="56648385">
      <w:pPr>
        <w:pageBreakBefore w:val="0"/>
        <w:wordWrap/>
        <w:spacing w:before="160" w:after="0"/>
        <w:ind w:left="0" w:right="0"/>
        <w:jc w:val="both"/>
        <w:textAlignment w:val="auto"/>
      </w:pPr>
    </w:p>
    <w:p w14:paraId="18E1D34B">
      <w:pPr>
        <w:pageBreakBefore w:val="0"/>
        <w:wordWrap/>
        <w:spacing w:before="160" w:after="0"/>
        <w:ind w:left="0" w:right="0"/>
        <w:jc w:val="center"/>
        <w:textAlignment w:val="auto"/>
        <w:rPr>
          <w:sz w:val="44"/>
        </w:rPr>
      </w:pPr>
      <w:r>
        <w:rPr>
          <w:rFonts w:ascii="宋体" w:hAnsi="宋体" w:eastAsia="宋体" w:cs="宋体"/>
          <w:b/>
          <w:i w:val="0"/>
          <w:spacing w:val="0"/>
          <w:sz w:val="44"/>
        </w:rPr>
        <w:t>七、总结与战略建议</w:t>
      </w:r>
    </w:p>
    <w:p w14:paraId="0D8DFD9C">
      <w:pPr>
        <w:pageBreakBefore w:val="0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7.1 核心结论</w:t>
      </w:r>
    </w:p>
    <w:p w14:paraId="53B5D602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大促驱动明显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：黑色星期五等大促活动对销售拉动效果显著</w:t>
      </w:r>
    </w:p>
    <w:p w14:paraId="7E3727DE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商品结构优化空间大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：低集中度高价值商品模式值得推广</w:t>
      </w:r>
    </w:p>
    <w:p w14:paraId="205C3013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用户价值有待提升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：腰部用户转化是关键增长点</w:t>
      </w:r>
    </w:p>
    <w:p w14:paraId="10415294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本地化运营需加强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：需更深入理解巴西市场特点</w:t>
      </w:r>
    </w:p>
    <w:p w14:paraId="2A097958">
      <w:pPr>
        <w:pageBreakBefore w:val="0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7.2 战略行动建议</w:t>
      </w:r>
    </w:p>
    <w:p w14:paraId="4BA58749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短期行动（3-6个月）：</w:t>
      </w:r>
    </w:p>
    <w:p w14:paraId="69CC579A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复制成功商品模式，扩大低集中度高价值商品SKU</w:t>
      </w:r>
    </w:p>
    <w:p w14:paraId="573C9124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针对黑色星期五提前布局，制定详细促销计划</w:t>
      </w:r>
    </w:p>
    <w:p w14:paraId="5043C9E2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启动流失用户召回计划</w:t>
      </w:r>
    </w:p>
    <w:p w14:paraId="3FC35DEC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中期规划（6-12个月）：</w:t>
      </w:r>
    </w:p>
    <w:p w14:paraId="7A112374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优化用户分层运营策略，提升腰部用户价值</w:t>
      </w:r>
    </w:p>
    <w:p w14:paraId="5C4210A2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加强本地化运营能力建设</w:t>
      </w:r>
    </w:p>
    <w:p w14:paraId="772B7EB9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完善供应链和物流体系</w:t>
      </w:r>
    </w:p>
    <w:p w14:paraId="06996F0C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长期发展（1年以上）：</w:t>
      </w:r>
    </w:p>
    <w:p w14:paraId="485F43D4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建立巴西市场专属商品体系</w:t>
      </w:r>
    </w:p>
    <w:p w14:paraId="288BA82D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深化本地化营销和用户服务</w:t>
      </w:r>
    </w:p>
    <w:p w14:paraId="2CE4F6AF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探索拉美市场扩展机会</w:t>
      </w:r>
    </w:p>
    <w:p w14:paraId="019F77CC">
      <w:pPr>
        <w:pageBreakBefore w:val="0"/>
        <w:wordWrap/>
        <w:spacing w:before="160" w:after="0"/>
        <w:ind w:left="0" w:right="0"/>
        <w:jc w:val="both"/>
        <w:textAlignment w:val="auto"/>
      </w:pPr>
    </w:p>
    <w:p w14:paraId="765595AC">
      <w:pPr>
        <w:pageBreakBefore w:val="0"/>
        <w:wordWrap/>
        <w:spacing w:before="160" w:after="0"/>
        <w:ind w:left="0" w:right="0"/>
        <w:jc w:val="center"/>
        <w:textAlignment w:val="auto"/>
        <w:rPr>
          <w:sz w:val="44"/>
        </w:rPr>
      </w:pPr>
      <w:r>
        <w:rPr>
          <w:rFonts w:ascii="宋体" w:hAnsi="宋体" w:eastAsia="宋体" w:cs="宋体"/>
          <w:b/>
          <w:i w:val="0"/>
          <w:spacing w:val="0"/>
          <w:sz w:val="44"/>
        </w:rPr>
        <w:t>八、风险提示</w:t>
      </w:r>
    </w:p>
    <w:p w14:paraId="349E6A6D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市场波动风险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：巴西经济环境可能影响消费能力</w:t>
      </w:r>
    </w:p>
    <w:p w14:paraId="2D165A0F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竞争加剧风险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：本地电商竞争日趋激烈</w:t>
      </w:r>
    </w:p>
    <w:p w14:paraId="6E7C02D3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物流成本风险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：配送成本可能持续上涨</w:t>
      </w:r>
    </w:p>
    <w:p w14:paraId="0A39786D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政策变化风险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：电商相关政策可能调整</w:t>
      </w:r>
    </w:p>
    <w:p w14:paraId="1348FF45">
      <w:pPr>
        <w:pageBreakBefore w:val="0"/>
        <w:wordWrap/>
        <w:spacing w:before="160" w:after="0"/>
        <w:ind w:left="0" w:right="0"/>
        <w:jc w:val="both"/>
        <w:textAlignment w:val="auto"/>
      </w:pPr>
    </w:p>
    <w:p w14:paraId="6D3C7F36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附录：数据分析说明</w:t>
      </w:r>
    </w:p>
    <w:p w14:paraId="6BBBCE0C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数据来源：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 xml:space="preserve"> 电商平台后台交易数据（2016年9月-2018年8月）</w:t>
      </w:r>
    </w:p>
    <w:p w14:paraId="2604685B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分析方法：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 xml:space="preserve"> RFM用户分层、价格带分析、商品集中度分析</w:t>
      </w:r>
    </w:p>
    <w:p w14:paraId="3A2DFC64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/>
          <w:i w:val="0"/>
          <w:spacing w:val="0"/>
          <w:sz w:val="32"/>
        </w:rPr>
        <w:t>统计口径：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 xml:space="preserve"> 支付金额为实际成交金额，订单数为有效订单</w:t>
      </w:r>
    </w:p>
    <w:sectPr>
      <w:headerReference r:id="rId3" w:type="default"/>
      <w:footerReference r:id="rId4" w:type="default"/>
      <w:pgSz w:w="15500" w:h="1972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B8E9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14F5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0053208E"/>
    <w:multiLevelType w:val="multilevel"/>
    <w:tmpl w:val="0053208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0248C179"/>
    <w:multiLevelType w:val="multilevel"/>
    <w:tmpl w:val="0248C17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03D62ECE"/>
    <w:multiLevelType w:val="multilevel"/>
    <w:tmpl w:val="03D62EC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nsid w:val="25B654F3"/>
    <w:multiLevelType w:val="multilevel"/>
    <w:tmpl w:val="25B654F3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nsid w:val="4D4DC07F"/>
    <w:multiLevelType w:val="multilevel"/>
    <w:tmpl w:val="4D4DC07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2">
    <w:nsid w:val="59ADCABA"/>
    <w:multiLevelType w:val="multilevel"/>
    <w:tmpl w:val="59ADCABA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3">
    <w:nsid w:val="5A241D34"/>
    <w:multiLevelType w:val="multilevel"/>
    <w:tmpl w:val="5A241D3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>
    <w:nsid w:val="72183CF9"/>
    <w:multiLevelType w:val="multilevel"/>
    <w:tmpl w:val="72183CF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6"/>
  </w:num>
  <w:num w:numId="2">
    <w:abstractNumId w:val="4"/>
  </w:num>
  <w:num w:numId="3">
    <w:abstractNumId w:val="12"/>
  </w:num>
  <w:num w:numId="4">
    <w:abstractNumId w:val="2"/>
  </w:num>
  <w:num w:numId="5">
    <w:abstractNumId w:val="1"/>
  </w:num>
  <w:num w:numId="6">
    <w:abstractNumId w:val="8"/>
  </w:num>
  <w:num w:numId="7">
    <w:abstractNumId w:val="9"/>
  </w:num>
  <w:num w:numId="8">
    <w:abstractNumId w:val="14"/>
  </w:num>
  <w:num w:numId="9">
    <w:abstractNumId w:val="7"/>
  </w:num>
  <w:num w:numId="10">
    <w:abstractNumId w:val="0"/>
  </w:num>
  <w:num w:numId="11">
    <w:abstractNumId w:val="10"/>
  </w:num>
  <w:num w:numId="12">
    <w:abstractNumId w:val="13"/>
  </w:num>
  <w:num w:numId="13">
    <w:abstractNumId w:val="3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00777EB9"/>
    <w:rsid w:val="752A6B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1600</Words>
  <Characters>1982</Characters>
  <TotalTime>2</TotalTime>
  <ScaleCrop>false</ScaleCrop>
  <LinksUpToDate>false</LinksUpToDate>
  <CharactersWithSpaces>2007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2026-01-08T10:45:00Z</dcterms:created>
  <dc:creator>Apache POI</dc:creator>
  <cp:lastModifiedBy>隐宇宙·诺米克斯</cp:lastModifiedBy>
  <dcterms:modified xsi:type="dcterms:W3CDTF">2026-01-08T11:08:33Z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3E0AC04880D24BC0A553277194A239FD_13</vt:lpwstr>
  </property>
  <property fmtid="{D5CDD505-2E9C-101B-9397-08002B2CF9AE}" pid="4" name="KSOTemplateDocerSaveRecord">
    <vt:lpwstr>eyJoZGlkIjoiOTg5NmQ4YmFiYzAxMmU4MmM2YTJhY2EzN2UxYTczNDUiLCJ1c2VySWQiOiI2NDk0NDk3NDcifQ==</vt:lpwstr>
  </property>
</Properties>
</file>