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移动支付 App 持续使用意愿研究：数据分析结果表格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  样本人口统计特征（N = 405）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4"/>
        <w:gridCol w:w="1274"/>
        <w:gridCol w:w="737"/>
        <w:gridCol w:w="1402"/>
      </w:tblGrid>
      <w:tr>
        <w:trPr>
          <w:trHeight w:val="345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变量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类别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人数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百分比（%）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性别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男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48.4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51.6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年龄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18-25岁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29.6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26-35岁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43.2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36-45岁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18.5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46岁及以上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8.6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学历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高中及以下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10.6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26.2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48.4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硕士及以上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14.8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使用年限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1年以内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13.1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1-2年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31.6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3-5年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36.0</w:t>
            </w:r>
          </w:p>
        </w:tc>
      </w:tr>
      <w:tr>
        <w:trPr>
          <w:trHeight w:val="342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5年以上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19.3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2  题项描述统计与正态性检验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1"/>
        <w:gridCol w:w="1064"/>
        <w:gridCol w:w="883"/>
        <w:gridCol w:w="901"/>
        <w:gridCol w:w="953"/>
        <w:gridCol w:w="953"/>
      </w:tblGrid>
      <w:tr>
        <w:trPr>
          <w:trHeight w:val="329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构念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题项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均值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标准差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偏度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峰度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感知易用性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3.363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-0.312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-0.346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-0.519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-0.394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感知有用性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-0.468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-0.407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-0.303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-0.429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信任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-0.294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-0.344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-0.461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-0.368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-0.432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-0.494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持续使用意愿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-0.380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-0.558</w:t>
            </w:r>
          </w:p>
        </w:tc>
      </w:tr>
      <w:tr>
        <w:trPr>
          <w:trHeight w:val="34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1.020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-0.536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注：偏度绝对值 &lt; 3、峰度绝对值 &lt; 10 时可视为近似正态（Kline, 2016），适合使用最大似然估计。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3  信度分析结果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1"/>
        <w:gridCol w:w="1064"/>
        <w:gridCol w:w="889"/>
        <w:gridCol w:w="1553"/>
        <w:gridCol w:w="1509"/>
      </w:tblGrid>
      <w:tr>
        <w:trPr>
          <w:trHeight w:val="346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构念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题项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CITC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删除该项后的 α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Cronbach's α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感知易用性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0.817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感知有用性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0.844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信任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0.800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0.837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持续使用意愿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0.875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0.786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注：CITC 为校正的项总计相关性；Cronbach's α &gt; 0.7 表示信度良好（Nunnally, 1978）。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4  KMO 与 Bartlett 球形检验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2"/>
        <w:gridCol w:w="1093"/>
      </w:tblGrid>
      <w:tr>
        <w:trPr>
          <w:trHeight w:val="329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检验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结果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KMO 值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0.851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Bartlett 球形检验 近似卡方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3128.57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自由度 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136</w:t>
            </w:r>
          </w:p>
        </w:tc>
      </w:tr>
      <w:tr>
        <w:trPr>
          <w:trHeight w:val="37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显著性 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 0.001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注：KMO &gt; 0.7 且 Bartlett 检验显著，说明数据适合做因子分析（Kaiser, 1974）。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5  旋转后的成分矩阵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56"/>
        <w:gridCol w:w="1227"/>
        <w:gridCol w:w="1227"/>
        <w:gridCol w:w="953"/>
        <w:gridCol w:w="901"/>
        <w:gridCol w:w="1391"/>
      </w:tblGrid>
      <w:tr>
        <w:trPr>
          <w:trHeight w:val="329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题项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感知易用性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感知有用性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信任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满意度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持续使用意愿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0.022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0.058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0.130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0.037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0.138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0.154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0.078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0.227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-0.022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0.086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0.063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0.179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0.136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0.100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0.860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0.853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CI3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0.880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特征值（旋转后）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2.436</w:t>
            </w:r>
          </w:p>
        </w:tc>
      </w:tr>
      <w:tr>
        <w:trPr>
          <w:trHeight w:val="34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方差解释率（%）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14.33</w:t>
            </w:r>
          </w:p>
        </w:tc>
      </w:tr>
      <w:tr>
        <w:trPr>
          <w:trHeight w:val="345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累计方差解释率（%）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15.60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31.42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44.12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57.82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72.15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注：提取方法为主成分分析，旋转方法为 最大方差法（Kaiser 标准化）；成分按载荷最高的构念命名。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6  验证性因子分析结果（收敛效度）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1"/>
        <w:gridCol w:w="971"/>
        <w:gridCol w:w="1111"/>
        <w:gridCol w:w="986"/>
        <w:gridCol w:w="681"/>
        <w:gridCol w:w="816"/>
        <w:gridCol w:w="816"/>
        <w:gridCol w:w="816"/>
      </w:tblGrid>
      <w:tr>
        <w:trPr>
          <w:trHeight w:val="361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构念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题项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标准化载荷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 (C.R.)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SMC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AVE</w:t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感知易用性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PEOU1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0.528</w:t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PEOU2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PEOU3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PEOU4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感知有用性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0.573</w:t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信任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0.574</w:t>
            </w:r>
          </w:p>
        </w:tc>
      </w:tr>
      <w:tr>
        <w:trPr>
          <w:trHeight w:val="3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0.585</w:t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持续使用意愿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3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22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19.414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注：z 即 AMOS 输出中的 C.R.（临界比），每个构念的第一个题项载荷固定为 1，不报告 z；SMC 为题项信度（标准化载荷的平方）；CR 为组合信度，AVE 为平均方差抽取量。CR &gt; 0.7、AVE &gt; 0.5、标准化载荷 &gt; 0.5 表示收敛效度良好（Fornell &amp; Larcker, 1981；Hair et al., 2019）。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7  模型拟合指标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4"/>
        <w:gridCol w:w="2573"/>
        <w:gridCol w:w="1093"/>
        <w:gridCol w:w="1093"/>
      </w:tblGrid>
      <w:tr>
        <w:trPr>
          <w:trHeight w:val="329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指标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参考标准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测量模型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结构模型</w:t>
            </w:r>
          </w:p>
        </w:tc>
      </w:tr>
      <w:tr>
        <w:trPr>
          <w:trHeight w:val="385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χ²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156.687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157.939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110</w:t>
            </w:r>
          </w:p>
        </w:tc>
      </w:tr>
      <w:tr>
        <w:trPr>
          <w:trHeight w:val="3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χ²/df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 3 良好，&lt; 5 可接受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1.436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GFI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&gt; 0.90 良好，&gt; 0.80 可接受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0.957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AGFI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&gt; 0.90 良好，&gt; 0.80 可接受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0.940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NFI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&gt;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0.950</w:t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&gt;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0.984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&gt; 0.90 可接受，≥ 0.95 良好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0.981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&gt; 0.90 可接受，≥ 0.95 良好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0.984</w:t>
            </w:r>
          </w:p>
        </w:tc>
      </w:tr>
      <w:tr>
        <w:trPr>
          <w:trHeight w:val="3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RMSEA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 0.08 可接受，≤ 0.06 良好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0.033</w:t>
            </w:r>
          </w:p>
        </w:tc>
      </w:tr>
      <w:tr>
        <w:trPr>
          <w:trHeight w:val="34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SRMR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 0.08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0.037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注：判断标准参考 Hu &amp; Bentler（1999）、Browne &amp; Cudeck（1993）。SRMR 在 AMOS 中需通过 Plugins → Standardized RMR 获得。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8  描述统计、相关系数与区分效度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1"/>
        <w:gridCol w:w="816"/>
        <w:gridCol w:w="831"/>
        <w:gridCol w:w="1086"/>
        <w:gridCol w:w="1086"/>
        <w:gridCol w:w="1086"/>
        <w:gridCol w:w="1086"/>
        <w:gridCol w:w="936"/>
      </w:tblGrid>
      <w:tr>
        <w:trPr>
          <w:trHeight w:val="321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变量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均值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标准差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感知易用性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3.381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[0.727]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感知有用性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[0.757]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信任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[0.757]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[0.765]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持续使用意愿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0.394***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0.352***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[0.838]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注：方括号内为 AVE 的平方根；对角线以下为构念均值的 Pearson 相关系数。 注：*** p &lt; 0.001，** p &lt; 0.01，* p &lt; 0.05。 对角线上的值大于其所在行、列的相关系数，说明区分效度良好（Fornell &amp; Larcker, 1981）。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9  HTMT 区分效度检验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1"/>
        <w:gridCol w:w="1227"/>
        <w:gridCol w:w="1227"/>
        <w:gridCol w:w="883"/>
        <w:gridCol w:w="901"/>
        <w:gridCol w:w="1391"/>
      </w:tblGrid>
      <w:tr>
        <w:trPr>
          <w:trHeight w:val="329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构念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感知易用性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感知有用性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信任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满意度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持续使用意愿</w:t>
            </w:r>
          </w:p>
        </w:tc>
      </w:tr>
      <w:tr>
        <w:trPr>
          <w:trHeight w:val="329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感知易用性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感知有用性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信任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42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持续使用意愿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注：HTMT &lt; 0.85（严格）或 &lt; 0.90（宽松）表示区分效度良好（Henseler, Ringle, &amp; Sarstedt, 2015）。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10  结构模型路径系数与假设检验结果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1"/>
        <w:gridCol w:w="2148"/>
        <w:gridCol w:w="1241"/>
        <w:gridCol w:w="1398"/>
        <w:gridCol w:w="816"/>
        <w:gridCol w:w="986"/>
        <w:gridCol w:w="962"/>
        <w:gridCol w:w="831"/>
      </w:tblGrid>
      <w:tr>
        <w:trPr>
          <w:trHeight w:val="361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假设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路径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标准化系数 β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非标准化系数 B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 (C.R.)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结论</w:t>
            </w:r>
          </w:p>
        </w:tc>
      </w:tr>
      <w:tr>
        <w:trPr>
          <w:trHeight w:val="325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感知易用性 → 感知有用性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7.085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支持</w:t>
            </w:r>
          </w:p>
        </w:tc>
      </w:tr>
      <w:tr>
        <w:trPr>
          <w:trHeight w:val="3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感知有用性 → 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支持</w:t>
            </w:r>
          </w:p>
        </w:tc>
      </w:tr>
      <w:tr>
        <w:trPr>
          <w:trHeight w:val="3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感知易用性 → 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支持</w:t>
            </w:r>
          </w:p>
        </w:tc>
      </w:tr>
      <w:tr>
        <w:trPr>
          <w:trHeight w:val="3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信任 → 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支持</w:t>
            </w:r>
          </w:p>
        </w:tc>
      </w:tr>
      <w:tr>
        <w:trPr>
          <w:trHeight w:val="3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满意度 → 持续使用意愿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支持</w:t>
            </w:r>
          </w:p>
        </w:tc>
      </w:tr>
      <w:tr>
        <w:trPr>
          <w:trHeight w:val="3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感知有用性 → 持续使用意愿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支持</w:t>
            </w:r>
          </w:p>
        </w:tc>
      </w:tr>
      <w:tr>
        <w:trPr>
          <w:trHeight w:val="32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信任 → 持续使用意愿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不支持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注：z 即 AMOS 输出中的 C.R.。 注：*** p &lt; 0.001，** p &lt; 0.01，* p &lt; 0.05。</w:t>
      </w:r>
    </w:p>
    <w:p>
      <w:pPr>
        <w:pStyle w:val="centered"/>
      </w:pPr>
      <w:r>
        <w:rPr/>
        <w:drawing>
          <wp:inline distT="0" distB="0" distL="0" distR="0">
            <wp:extent cx="5760720" cy="34747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图  结构模型路径系数（标准化）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11  中介效应检验结果（Bootstrap = 2000 次）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1"/>
        <w:gridCol w:w="1615"/>
        <w:gridCol w:w="971"/>
        <w:gridCol w:w="1016"/>
        <w:gridCol w:w="1242"/>
        <w:gridCol w:w="1229"/>
        <w:gridCol w:w="691"/>
        <w:gridCol w:w="1589"/>
      </w:tblGrid>
      <w:tr>
        <w:trPr>
          <w:trHeight w:val="324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假设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中介路径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间接效应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Boot 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BC 95% CI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标准化间接效应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结论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中介类型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感知有用性 → 满意度 → 持续使用意愿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[0.018, 0.199]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成立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互补型部分中介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感知易用性 → 感知有用性 → 满意度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[0.166, 0.371]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成立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互补型部分中介</w:t>
            </w:r>
          </w:p>
        </w:tc>
      </w:tr>
      <w:tr>
        <w:trPr>
          <w:trHeight w:val="355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感知易用性 → 感知有用性 → 满意度 → 持续使用意愿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[0.011, 0.116]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成立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仅间接效应（模型未设直接路径）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注：间接效应为非标准化估计值；CI 为偏差校正（bias-corrected）的 95% 置信区间，不包含 0 即中介效应显著（Preacher &amp; Hayes, 2008）；中介类型参照 Zhao, Lynch, &amp; Chen（2010）。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12  总效应、直接效应与间接效应分解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227"/>
        <w:gridCol w:w="901"/>
        <w:gridCol w:w="1117"/>
        <w:gridCol w:w="1601"/>
      </w:tblGrid>
      <w:tr>
        <w:trPr>
          <w:trHeight w:val="345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路径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效应类型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效应值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Boot 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BC 95% CI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CI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直接效应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[0.207, 0.551]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总间接效应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[0.018, 0.199]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总效应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[0.350, 0.616]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直接效应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[0.032, 0.338]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总间接效应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[0.166, 0.371]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总效应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[0.290, 0.599]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直接效应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—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总间接效应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[0.209, 0.398]</w:t>
            </w:r>
          </w:p>
        </w:tc>
      </w:tr>
      <w:tr>
        <w:trPr>
          <w:trHeight w:val="38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CI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总效应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0.294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[0.209, 0.398]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注：总间接效应为该自变量到因变量所有间接路径之和，对应 AMOS 的 Indirect Effects 输出。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13  测量不变性检验（分组变量：性别）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996"/>
        <w:gridCol w:w="681"/>
        <w:gridCol w:w="816"/>
        <w:gridCol w:w="816"/>
        <w:gridCol w:w="1031"/>
        <w:gridCol w:w="911"/>
        <w:gridCol w:w="906"/>
        <w:gridCol w:w="676"/>
        <w:gridCol w:w="816"/>
        <w:gridCol w:w="1147"/>
        <w:gridCol w:w="691"/>
      </w:tblGrid>
      <w:tr>
        <w:trPr>
          <w:trHeight w:val="358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模型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χ2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SRMR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Δχ2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判断</w:t>
            </w:r>
          </w:p>
        </w:tc>
      </w:tr>
      <w:tr>
        <w:trPr>
          <w:trHeight w:val="321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形态等价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268.889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基准</w:t>
            </w:r>
          </w:p>
        </w:tc>
      </w:tr>
      <w:tr>
        <w:trPr>
          <w:trHeight w:val="3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弱等价（载荷相等）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成立</w:t>
            </w:r>
          </w:p>
        </w:tc>
      </w:tr>
      <w:tr>
        <w:trPr>
          <w:trHeight w:val="32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强等价（载荷 + 截距相等）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286.679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6.462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成立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注：ΔCFI ≤ 0.01（Cheung &amp; Rensvold, 2002）且 ΔRMSEA ≤ 0.015（Chen, 2007）视为该层级的不变性成立。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14  结构路径的组间差异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198"/>
        <w:gridCol w:w="1198"/>
        <w:gridCol w:w="953"/>
        <w:gridCol w:w="883"/>
      </w:tblGrid>
      <w:tr>
        <w:trPr>
          <w:trHeight w:val="388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路径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女 β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男 β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差异 z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PU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0.504***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0.762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0.485***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0.648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PEOU → 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0.631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 → 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0.227**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0.954</w:t>
            </w:r>
          </w:p>
        </w:tc>
      </w:tr>
      <w:tr>
        <w:trPr>
          <w:trHeight w:val="3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SAT →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0.820</w:t>
            </w:r>
          </w:p>
        </w:tc>
      </w:tr>
      <w:tr>
        <w:trPr>
          <w:trHeight w:val="34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0.985</w:t>
            </w:r>
          </w:p>
        </w:tc>
      </w:tr>
      <w:tr>
        <w:trPr>
          <w:trHeight w:val="34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TR → CI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-0.013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0.997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0.319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注：在载荷等价的前提下估计各组路径；z 为两组非标准化系数之差的临界比（AMOS 的 Critical ratios for differences），|z| &gt; 1.96 表示差异显著。 注：*** p &lt; 0.001，** p &lt; 0.01，* p &lt; 0.05。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15  PROCESS 模型 4 回归结果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1"/>
        <w:gridCol w:w="971"/>
        <w:gridCol w:w="816"/>
        <w:gridCol w:w="816"/>
        <w:gridCol w:w="906"/>
        <w:gridCol w:w="962"/>
        <w:gridCol w:w="1431"/>
        <w:gridCol w:w="816"/>
      </w:tblGrid>
      <w:tr>
        <w:trPr>
          <w:trHeight w:val="325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方程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预测变量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结果变量：SAT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常数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11.478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[1.517, 2.144]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[0.371, 0.549]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结果变量：CI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常数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[1.180, 1.930]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[0.207, 0.414]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[0.124, 0.328]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总效应模型：CI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常数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[1.636, 2.302]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</w:tr>
      <w:tr>
        <w:trPr>
          <w:trHeight w:val="355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[0.320, 0.509]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注：基于构念均值的 OLS 回归。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16  PROCESS 模型 4 间接效应（Bootstrap = 5000 次）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6"/>
        <w:gridCol w:w="924"/>
        <w:gridCol w:w="1117"/>
        <w:gridCol w:w="1601"/>
        <w:gridCol w:w="737"/>
      </w:tblGrid>
      <w:tr>
        <w:trPr>
          <w:trHeight w:val="346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效应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Effect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Boot 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Boot 95% CI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显著</w:t>
            </w:r>
          </w:p>
        </w:tc>
      </w:tr>
      <w:tr>
        <w:trPr>
          <w:trHeight w:val="381" w:hRule="auto"/>
        </w:trPr>
        <w:tc>
          <w:tcPr>
            <w:tcBorders>
              <w:bottom w:val="single" w:sz="12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SAT → CI</w:t>
            </w:r>
          </w:p>
        </w:tc>
        <w:tc>
          <w:tcPr>
            <w:tcBorders>
              <w:bottom w:val="single" w:sz="12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0.104</w:t>
            </w:r>
          </w:p>
        </w:tc>
        <w:tc>
          <w:tcPr>
            <w:tcBorders>
              <w:bottom w:val="single" w:sz="12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[0.056, 0.156]</w:t>
            </w:r>
          </w:p>
        </w:tc>
        <w:tc>
          <w:tcPr>
            <w:tcBorders>
              <w:bottom w:val="single" w:sz="12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是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注：百分位 Bootstrap 95% 置信区间，不包含 0 即显著；连续调节变量取第 16、50、84 百分位（PROCESS 默认）。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17  PROCESS 模型 7 回归结果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1"/>
        <w:gridCol w:w="972"/>
        <w:gridCol w:w="816"/>
        <w:gridCol w:w="816"/>
        <w:gridCol w:w="906"/>
        <w:gridCol w:w="962"/>
        <w:gridCol w:w="1490"/>
        <w:gridCol w:w="816"/>
      </w:tblGrid>
      <w:tr>
        <w:trPr>
          <w:trHeight w:val="325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方程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预测变量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结果变量：SAT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常数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3.394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89.399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[3.319, 3.469]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[0.351, 0.524]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[0.149, 0.323]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PU×TR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[-0.042, 0.153]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结果变量：CI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常数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[2.258, 2.968]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3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[0.207, 0.414]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55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[0.124, 0.328]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注：基于构念均值的 OLS 回归，交互项由均值中心化后的变量构造（PROCESS center=1）。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24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true"/>
          <w:u w:val="none"/>
          <w:strike w:val="false"/>
          <w:sz w:val="21"/>
          <w:szCs w:val="21"/>
          <w:color w:val="000000"/>
        </w:rPr>
        <w:t xml:space="preserve">表 18  PROCESS 模型 7 间接效应（Bootstrap = 5000 次）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924"/>
        <w:gridCol w:w="1117"/>
        <w:gridCol w:w="1670"/>
        <w:gridCol w:w="737"/>
      </w:tblGrid>
      <w:tr>
        <w:trPr>
          <w:trHeight w:val="346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效应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Effect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Boot SE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Boot 95% CI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显著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SAT → CI，TR = 2.667（第 16 百分位）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[0.046, 0.143]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是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SAT → CI，TR = 3.333（第 50 百分位）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[0.053, 0.148]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是</w:t>
            </w:r>
          </w:p>
        </w:tc>
      </w:tr>
      <w:tr>
        <w:trPr>
          <w:trHeight w:val="3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PU → SAT → CI，TR = 4.333（第 84 百分位）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[0.059, 0.167]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是</w:t>
            </w:r>
          </w:p>
        </w:tc>
      </w:tr>
      <w:tr>
        <w:trPr>
          <w:trHeight w:val="381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有调节的中介指数（经 SAT）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[-0.009, 0.034]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否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宋体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注：百分位 Bootstrap 95% 置信区间，不包含 0 即显著；连续调节变量取第 16、50、84 百分位（PROCESS 默认）。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adf9aeb71651bdc7289b8d02f1a77f12c57491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brycewang</cp:lastModifiedBy>
  <cp:revision>9</cp:revision>
  <dcterms:created xsi:type="dcterms:W3CDTF">2017-02-28T11:18:00Z</dcterms:created>
  <dcterms:modified xsi:type="dcterms:W3CDTF">2026-10-27T01:29:07Z</dcterms:modified>
  <cp:category/>
</cp:coreProperties>
</file>