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3. Heterogeneous returns to schooling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(1) All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(2) Black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(3) Non-black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(4) South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(5) Non-south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(6) SMSA</w:t>
            </w:r>
          </w:p>
        </w:tc>
        <w:tc>
          <w:tcPr>
            <w:tcW w:type="dxa" w:w="1080"/>
            <w:vAlign w:val="center"/>
            <w:tcBorders>
              <w:top w:val="single" w:sz="12" w:space="0" w:color="000000"/>
              <w:left w:val="nil"/>
              <w:bottom w:val="single" w:sz="4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(7) Non-SMSA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Intercept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4.734***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2.476***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4.686***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231844238082004.656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4.762***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2.425***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4.867***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(0.079)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(4141688650879277203456.000)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(0.089)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(0.126)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Years of schooling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0.071***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0.259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0.070***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0.034**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0.090***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0.327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0.087***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0.089***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0.068***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(0.007)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(0.008)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(137363.606)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(0.009)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(0.009)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(0.010)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expersq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-0.002***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(0.001)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(8955.173)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black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-0.190***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2.476***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-0.049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-0.123***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-0.175***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-0.231***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(0.075)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(0.029)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south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-0.214***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-0.100***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-231844238082004.094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-0.125***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-0.114***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(0.034)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(6047170633136027467776.000)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(0.018)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(0.029)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smsa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0.161***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0.143***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0.184***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0.153***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2.425***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0.000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(0.015)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(0.033)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(0.017)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(0.032)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(0.021)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(0.043)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(0.000)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3,010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703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2,307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1,215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1,795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2,146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864</w:t>
            </w:r>
          </w:p>
        </w:tc>
      </w:tr>
      <w:tr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Times New Roman" w:hAnsi="Times New Roman"/>
                <w:sz w:val="20"/>
              </w:rPr>
              <w:t>R²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0.291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0.266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0.216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-0.607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0.187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0.233</w:t>
            </w:r>
          </w:p>
        </w:tc>
        <w:tc>
          <w:tcPr>
            <w:tcW w:type="dxa" w:w="1080"/>
            <w:vAlign w:val="center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0.294</w:t>
            </w:r>
          </w:p>
        </w:tc>
      </w:tr>
    </w:tbl>
    <w:p>
      <w:r>
        <w:rPr>
          <w:rFonts w:ascii="Times New Roman" w:hAnsi="Times New Roman"/>
          <w:i/>
          <w:sz w:val="16"/>
        </w:rPr>
        <w:t>Standard errors in parentheses</w:t>
        <w:br/>
        <w:t>*** p&lt;0.01, ** p&lt;0.05, * p&lt;0.10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