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5: Robustness — Alternative Specifications</w:t>
      </w:r>
    </w:p>
    <w:tbl>
      <w:tblPr>
        <w:tblStyle w:val="Table"/>
        <w:tblW w:type="pct" w:w="4805"/>
        <w:tblLayout w:type="fixed"/>
        <w:tblLook w:firstRow="1" w:lastRow="1" w:firstColumn="0" w:lastColumn="0" w:noHBand="0" w:noVBand="0" w:val="0020"/>
        <w:tblCaption w:val="Table 5: Robustness — Alternative Specifications"/>
      </w:tblPr>
      <w:tblGrid>
        <w:gridCol w:w="2674"/>
        <w:gridCol w:w="1337"/>
        <w:gridCol w:w="1234"/>
        <w:gridCol w:w="1028"/>
        <w:gridCol w:w="133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>
            <w:pPr>
              <w:pStyle w:val="Compact"/>
            </w:pPr>
            <w:r>
              <w:t xml:space="preserve">Treatment (NSW Program)</w:t>
            </w:r>
          </w:p>
        </w:tc>
        <w:tc>
          <w:tcPr/>
          <w:p>
            <w:pPr>
              <w:pStyle w:val="Compact"/>
            </w:pPr>
            <w:r>
              <w:t xml:space="preserve">1548.244**</w:t>
            </w:r>
          </w:p>
        </w:tc>
        <w:tc>
          <w:tcPr/>
          <w:p>
            <w:pPr>
              <w:pStyle w:val="Compact"/>
            </w:pPr>
            <w:r>
              <w:t xml:space="preserve">1093.492</w:t>
            </w:r>
          </w:p>
        </w:tc>
        <w:tc>
          <w:tcPr/>
          <w:p>
            <w:pPr>
              <w:pStyle w:val="Compact"/>
            </w:pPr>
            <w:r>
              <w:t xml:space="preserve">0.982**</w:t>
            </w:r>
          </w:p>
        </w:tc>
        <w:tc>
          <w:tcPr/>
          <w:p>
            <w:pPr>
              <w:pStyle w:val="Compact"/>
            </w:pPr>
            <w:r>
              <w:t xml:space="preserve">1548.244**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(740.576)</w:t>
            </w:r>
          </w:p>
        </w:tc>
        <w:tc>
          <w:tcPr/>
          <w:p>
            <w:pPr>
              <w:pStyle w:val="Compact"/>
            </w:pPr>
            <w:r>
              <w:t xml:space="preserve">(833.141)</w:t>
            </w:r>
          </w:p>
        </w:tc>
        <w:tc>
          <w:tcPr/>
          <w:p>
            <w:pPr>
              <w:pStyle w:val="Compact"/>
            </w:pPr>
            <w:r>
              <w:t xml:space="preserve">(0.419)</w:t>
            </w:r>
          </w:p>
        </w:tc>
        <w:tc>
          <w:tcPr/>
          <w:p>
            <w:pPr>
              <w:pStyle w:val="Compact"/>
            </w:pPr>
            <w:r>
              <w:t xml:space="preserve">(781.279)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  <w:tc>
          <w:tcPr/>
          <w:p>
            <w:pPr>
              <w:pStyle w:val="Compact"/>
            </w:pPr>
            <w:r>
              <w:t xml:space="preserve">471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Column (1): baseline OLS with HC SE. (2): dropping zero-earners. (3):</w:t>
            </w:r>
            <w:r>
              <w:t xml:space="preserve"> </w:t>
            </w:r>
            <w:r>
              <w:t xml:space="preserve">log(re78+1) outcome. (4): OLS with iid SE.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2026-05-03T07:05:10Z</dcterms:created>
  <dcterms:modified xsi:type="dcterms:W3CDTF">2026-05-03T07:05:10Z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