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Table 1. Summary statistics (multi-panel)</w:t>
      </w:r>
    </w:p>
    <w:p>
      <w:pPr>
        <w:pStyle w:val="Heading2"/>
      </w:pPr>
      <w:r>
        <w:rPr>
          <w:rFonts w:ascii="Times New Roman" w:hAnsi="Times New Roman"/>
        </w:rPr>
        <w:t>Panel A. Outcome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Mean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Std. Dev.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re78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6792.834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7470.731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log_re78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6.606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3.789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Panel B. Demographics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Mean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Std. Dev.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27.363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9.881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10.269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2.628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married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0.415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0.493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nodegree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0.630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0.483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Panel C. Pre-treatment earnings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Mean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Std. Dev.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4557.547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6477.964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re75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2184.938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3295.679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log_re74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5.011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4.200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log_re75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4.580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3.861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