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Lalonde NSW Replication — StatsPAI v2 Pipeline</w:t>
      </w:r>
    </w:p>
    <w:p>
      <w:pPr>
        <w:pStyle w:val="Heading1"/>
      </w:pPr>
      <w:r>
        <w:rPr>
          <w:rFonts w:ascii="Times New Roman" w:hAnsi="Times New Roman"/>
        </w:rPr>
        <w:t>§1. Descriptive statistics</w:t>
      </w:r>
    </w:p>
    <w:p>
      <w:pPr>
        <w:pStyle w:val="Heading2"/>
      </w:pPr>
      <w:r>
        <w:rPr>
          <w:rFonts w:ascii="Times New Roman" w:hAnsi="Times New Roman"/>
        </w:rPr>
        <w:t>Table 1. Summary statistics by treatment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Mean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Std. Dev.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6792.834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7470.731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27.363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9.881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10.269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2.628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black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0.396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0.489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hispan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0.322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0.415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0.630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0.483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4557.547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6477.964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2184.938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3295.679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Table 1b. Balance by treatment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Difference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Significance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28.03030303030303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10.786653017464364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25.816216216216215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7.155019274786176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-2.2140868140868157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0.0029142744026021106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10.235431235431236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2.8552384408759477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10.345945945945946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2.0106502564056283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0.1105147105147104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0.5847976601883131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black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0.20279720279720279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0.4025521483506082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0.8432432432432433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0.3645579071767287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0.6404460404460405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1.2058895618696863e-58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hispan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0.14219114219114218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0.34965383524393834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0.05945945945945946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0.23712437052638075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-0.08273168273168272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0.0007042070579970867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0.5128205128205128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0.5004191868512791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0.1891891891891892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0.39272167914923606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-0.3236313236313236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1.4612776761359052e-16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0.5967365967365967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0.49112552223179784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0.7081081081081081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0.4558665770543018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0.11137151137151136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0.006982225071602653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5619.2365063869465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6788.750796455377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2095.573688648649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4886.620353151076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-3523.6628177382977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1.7478314133663847e-12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2466.484443123543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3291.996183310652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1532.0553137837837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3219.2508699215996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-934.4291293397591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0.0011500847871299268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</w:tbl>
    <w:p>
      <w:r>
        <w:rPr>
          <w:rFonts w:ascii="Times New Roman" w:hAnsi="Times New Roman"/>
          <w:i/>
          <w:sz w:val="16"/>
        </w:rPr>
        <w:t>* p&lt;0.10, ** p&lt;0.05, *** p&lt;0.01</w:t>
      </w:r>
    </w:p>
    <w:p>
      <w:pPr>
        <w:pStyle w:val="Heading1"/>
      </w:pPr>
      <w:r>
        <w:rPr>
          <w:rFonts w:ascii="Times New Roman" w:hAnsi="Times New Roman"/>
        </w:rPr>
        <w:t>§4. Main results</w:t>
      </w:r>
    </w:p>
    <w:p>
      <w:pPr>
        <w:pStyle w:val="Heading2"/>
      </w:pPr>
      <w:r>
        <w:rPr>
          <w:rFonts w:ascii="Times New Roman" w:hAnsi="Times New Roman"/>
        </w:rPr>
        <w:t>Table 2. Progressive controls (Pattern A)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Baseline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+Demog.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+Race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+Marital/Edu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+Earn. hist.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Job training (β̂)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-635.026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-480.729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821.954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1163.922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(676.748)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(662.516)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(733.269)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(741.281)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0.043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0.071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DV mean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p>
      <w:pPr>
        <w:pStyle w:val="Heading1"/>
      </w:pPr>
      <w:r>
        <w:rPr>
          <w:rFonts w:ascii="Times New Roman" w:hAnsi="Times New Roman"/>
        </w:rPr>
        <w:t>§5. Heterogeneity</w:t>
      </w:r>
    </w:p>
    <w:p>
      <w:pPr>
        <w:pStyle w:val="Heading2"/>
      </w:pPr>
      <w:r>
        <w:rPr>
          <w:rFonts w:ascii="Times New Roman" w:hAnsi="Times New Roman"/>
        </w:rPr>
        <w:t>Table 3. Subgroup heterogeneity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All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Black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Non-black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Married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Unmarried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(6) HS dropout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(7) Has degree</w:t>
            </w:r>
          </w:p>
        </w:tc>
        <w:tc>
          <w:tcPr>
            <w:tcW w:type="dxa" w:w="9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(8) re74 &gt; 0</w:t>
            </w:r>
          </w:p>
        </w:tc>
      </w:tr>
      <w:tr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Training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1371.454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1806.983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3046.002*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1052.227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1082.432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2597.122*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-1293.622</w:t>
            </w:r>
          </w:p>
        </w:tc>
      </w:tr>
      <w:tr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(927.942)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(1321.279)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(1670.884)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(804.743)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(879.124)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(1374.305)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(1122.589)</w:t>
            </w:r>
          </w:p>
        </w:tc>
      </w:tr>
      <w:tr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243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371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359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387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227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371</w:t>
            </w:r>
          </w:p>
        </w:tc>
      </w:tr>
      <w:tr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0.062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0.216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0.270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0.049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0.243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0.244</w:t>
            </w:r>
          </w:p>
        </w:tc>
      </w:tr>
      <w:tr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Adj. R²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0.135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0.026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0.196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0.243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0.024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0.055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0.211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0.225</w:t>
            </w:r>
          </w:p>
        </w:tc>
      </w:tr>
      <w:tr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11.636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1.718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11.032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10.083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1.981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3.497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7.732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12.930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p>
      <w:pPr>
        <w:pStyle w:val="Heading1"/>
      </w:pPr>
      <w:r>
        <w:rPr>
          <w:rFonts w:ascii="Times New Roman" w:hAnsi="Times New Roman"/>
        </w:rPr>
        <w:t>§7. Robustness</w:t>
      </w:r>
    </w:p>
    <w:p>
      <w:pPr>
        <w:pStyle w:val="Heading2"/>
      </w:pPr>
      <w:r>
        <w:rPr>
          <w:rFonts w:ascii="Times New Roman" w:hAnsi="Times New Roman"/>
        </w:rPr>
        <w:t>Table A1. Robustness master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Baseline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Drop top 1% re78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re74 &gt; 0 only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Drop nodegree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log(1+re78)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(6) PSM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(7) AIPW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(8) DML-PLR</w:t>
            </w:r>
          </w:p>
        </w:tc>
        <w:tc>
          <w:tcPr>
            <w:tcW w:type="dxa" w:w="86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(9) Ebalance</w:t>
            </w:r>
          </w:p>
        </w:tc>
      </w:tr>
      <w:tr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Training (β̂)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747.338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-1293.622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1569.957**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0.893**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(647.554)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(1122.589)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(744.447)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(0.403)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596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371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0.096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0.244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0.082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Adj. R²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0.135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0.082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0.225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0.136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0.068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11.636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6.902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12.930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13.098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5.961</w:t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p>
      <w:pPr>
        <w:pStyle w:val="Heading2"/>
      </w:pPr>
      <w:r>
        <w:rPr>
          <w:rFonts w:ascii="Times New Roman" w:hAnsi="Times New Roman"/>
        </w:rPr>
        <w:t>Notes</w:t>
      </w:r>
    </w:p>
    <w:p>
      <w:r>
        <w:rPr>
          <w:rFonts w:ascii="Times New Roman" w:hAnsi="Times New Roman"/>
          <w:sz w:val="22"/>
        </w:rPr>
        <w:t>Standard errors: HC1 robust. Stars: * p&lt;0.10, ** p&lt;0.05, *** p&lt;0.01. Sample restrictions in artifacts/sample_construction.json. Data contract in artifacts/data_contract.json. StatsPAI 1.12.2, seed=7.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